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color w:val="auto"/>
          <w:sz w:val="44"/>
          <w:szCs w:val="44"/>
        </w:rPr>
        <w:t>液化石油气</w:t>
      </w:r>
      <w:r>
        <w:rPr>
          <w:rFonts w:hint="eastAsia" w:ascii="方正小标宋简体" w:hAnsi="方正小标宋简体" w:eastAsia="方正小标宋简体" w:cs="方正小标宋简体"/>
          <w:b w:val="0"/>
          <w:bCs w:val="0"/>
          <w:color w:val="auto"/>
          <w:sz w:val="44"/>
          <w:szCs w:val="44"/>
        </w:rPr>
        <w:t>废旧气瓶置换工作流程</w:t>
      </w:r>
    </w:p>
    <w:p>
      <w:pPr>
        <w:pStyle w:val="7"/>
        <w:keepNext w:val="0"/>
        <w:keepLines w:val="0"/>
        <w:pageBreakBefore w:val="0"/>
        <w:tabs>
          <w:tab w:val="left" w:pos="2325"/>
        </w:tabs>
        <w:kinsoku/>
        <w:wordWrap/>
        <w:overflowPunct/>
        <w:topLinePunct w:val="0"/>
        <w:autoSpaceDE/>
        <w:autoSpaceDN/>
        <w:bidi w:val="0"/>
        <w:adjustRightInd w:val="0"/>
        <w:snapToGrid w:val="0"/>
        <w:spacing w:line="560" w:lineRule="exact"/>
        <w:ind w:firstLine="640"/>
        <w:textAlignment w:val="auto"/>
        <w:rPr>
          <w:rFonts w:ascii="仿宋_GB2312" w:hAnsi="仿宋" w:eastAsia="仿宋_GB2312"/>
          <w:color w:val="auto"/>
          <w:sz w:val="32"/>
          <w:szCs w:val="32"/>
          <w:u w:val="none"/>
        </w:rPr>
      </w:pPr>
    </w:p>
    <w:p>
      <w:pPr>
        <w:pStyle w:val="7"/>
        <w:keepNext w:val="0"/>
        <w:keepLines w:val="0"/>
        <w:pageBreakBefore w:val="0"/>
        <w:widowControl w:val="0"/>
        <w:numPr>
          <w:ilvl w:val="0"/>
          <w:numId w:val="0"/>
        </w:numPr>
        <w:tabs>
          <w:tab w:val="left" w:pos="2325"/>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eastAsia="zh-CN"/>
        </w:rPr>
        <w:t>一、</w:t>
      </w:r>
      <w:r>
        <w:rPr>
          <w:rFonts w:hint="eastAsia" w:ascii="仿宋_GB2312" w:hAnsi="仿宋_GB2312" w:eastAsia="仿宋_GB2312" w:cs="仿宋_GB2312"/>
          <w:color w:val="auto"/>
          <w:sz w:val="32"/>
          <w:szCs w:val="32"/>
          <w:highlight w:val="none"/>
          <w:u w:val="none"/>
        </w:rPr>
        <w:t>居民携带身份证将废旧气瓶送到参与置换工作的充装站，充装站为居民提供合格的自有产权气瓶，对居民身份信息和新旧两个气瓶的信息进行登记。充装站先行垫付</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0元政府置换补贴，</w:t>
      </w:r>
      <w:r>
        <w:rPr>
          <w:rFonts w:hint="eastAsia" w:ascii="仿宋_GB2312" w:hAnsi="仿宋_GB2312" w:eastAsia="仿宋_GB2312" w:cs="仿宋_GB2312"/>
          <w:color w:val="auto"/>
          <w:sz w:val="32"/>
          <w:szCs w:val="32"/>
          <w:highlight w:val="none"/>
          <w:u w:val="none"/>
          <w:lang w:eastAsia="zh-CN"/>
        </w:rPr>
        <w:t>与气瓶残值（</w:t>
      </w:r>
      <w:r>
        <w:rPr>
          <w:rFonts w:hint="eastAsia" w:ascii="仿宋_GB2312" w:hAnsi="仿宋_GB2312" w:eastAsia="仿宋_GB2312" w:cs="仿宋_GB2312"/>
          <w:color w:val="auto"/>
          <w:sz w:val="32"/>
          <w:szCs w:val="32"/>
          <w:highlight w:val="none"/>
          <w:u w:val="none"/>
          <w:lang w:val="en-US" w:eastAsia="zh-CN"/>
        </w:rPr>
        <w:t>20元</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居民自行缴纳</w:t>
      </w:r>
      <w:r>
        <w:rPr>
          <w:rFonts w:hint="eastAsia" w:ascii="仿宋_GB2312" w:hAnsi="仿宋_GB2312" w:eastAsia="仿宋_GB2312" w:cs="仿宋_GB2312"/>
          <w:color w:val="auto"/>
          <w:sz w:val="32"/>
          <w:szCs w:val="32"/>
          <w:highlight w:val="none"/>
          <w:u w:val="none"/>
          <w:lang w:eastAsia="zh-CN"/>
        </w:rPr>
        <w:t>的气瓶押金三方资金一并开具押金收据</w:t>
      </w:r>
      <w:r>
        <w:rPr>
          <w:rFonts w:hint="eastAsia" w:ascii="仿宋_GB2312" w:hAnsi="仿宋_GB2312" w:eastAsia="仿宋_GB2312" w:cs="仿宋_GB2312"/>
          <w:color w:val="auto"/>
          <w:sz w:val="32"/>
          <w:szCs w:val="32"/>
          <w:highlight w:val="none"/>
          <w:u w:val="none"/>
        </w:rPr>
        <w:t>，同时</w:t>
      </w:r>
      <w:r>
        <w:rPr>
          <w:rFonts w:hint="eastAsia" w:ascii="仿宋_GB2312" w:hAnsi="仿宋_GB2312" w:eastAsia="仿宋_GB2312" w:cs="仿宋_GB2312"/>
          <w:color w:val="auto"/>
          <w:sz w:val="32"/>
          <w:szCs w:val="32"/>
          <w:highlight w:val="none"/>
          <w:u w:val="none"/>
          <w:lang w:eastAsia="zh-CN"/>
        </w:rPr>
        <w:t>与居民</w:t>
      </w:r>
      <w:r>
        <w:rPr>
          <w:rFonts w:hint="eastAsia" w:ascii="仿宋_GB2312" w:hAnsi="仿宋_GB2312" w:eastAsia="仿宋_GB2312" w:cs="仿宋_GB2312"/>
          <w:color w:val="auto"/>
          <w:sz w:val="32"/>
          <w:szCs w:val="32"/>
          <w:highlight w:val="none"/>
          <w:u w:val="none"/>
        </w:rPr>
        <w:t>签订用气协议。</w:t>
      </w:r>
      <w:r>
        <w:rPr>
          <w:rFonts w:hint="eastAsia" w:ascii="仿宋_GB2312" w:hAnsi="仿宋_GB2312" w:eastAsia="仿宋_GB2312" w:cs="仿宋_GB2312"/>
          <w:color w:val="auto"/>
          <w:sz w:val="32"/>
          <w:szCs w:val="32"/>
          <w:highlight w:val="none"/>
          <w:u w:val="none"/>
          <w:lang w:eastAsia="zh-CN"/>
        </w:rPr>
        <w:t>居民停止使用液化石油气时需将气瓶退</w:t>
      </w:r>
      <w:r>
        <w:rPr>
          <w:rFonts w:hint="eastAsia" w:ascii="仿宋_GB2312" w:hAnsi="仿宋_GB2312" w:eastAsia="仿宋_GB2312" w:cs="仿宋_GB2312"/>
          <w:color w:val="auto"/>
          <w:sz w:val="32"/>
          <w:szCs w:val="32"/>
          <w:highlight w:val="none"/>
          <w:lang w:eastAsia="zh-CN"/>
        </w:rPr>
        <w:t>还充装站，并办理押金退还手续。</w:t>
      </w:r>
    </w:p>
    <w:p>
      <w:pPr>
        <w:pStyle w:val="7"/>
        <w:keepNext w:val="0"/>
        <w:keepLines w:val="0"/>
        <w:pageBreakBefore w:val="0"/>
        <w:widowControl w:val="0"/>
        <w:numPr>
          <w:ilvl w:val="0"/>
          <w:numId w:val="0"/>
        </w:numPr>
        <w:tabs>
          <w:tab w:val="left" w:pos="2325"/>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二、充装站按照国家法律法规的要求处置废旧气瓶并详细登记气瓶信息，或者将废旧气瓶和登记信息送到气瓶检验机构，由气瓶检验机构清点后出具签收单，作为将来领取补贴的依据。</w:t>
      </w:r>
    </w:p>
    <w:p>
      <w:pPr>
        <w:pStyle w:val="7"/>
        <w:keepNext w:val="0"/>
        <w:keepLines w:val="0"/>
        <w:pageBreakBefore w:val="0"/>
        <w:widowControl w:val="0"/>
        <w:tabs>
          <w:tab w:val="left" w:pos="2325"/>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三、气瓶处置单位（包括气瓶检验机构和充装站）</w:t>
      </w:r>
      <w:r>
        <w:rPr>
          <w:rFonts w:hint="eastAsia" w:ascii="仿宋_GB2312" w:hAnsi="仿宋_GB2312" w:eastAsia="仿宋_GB2312" w:cs="仿宋_GB2312"/>
          <w:color w:val="auto"/>
          <w:sz w:val="32"/>
          <w:szCs w:val="32"/>
          <w:lang w:eastAsia="zh-CN"/>
        </w:rPr>
        <w:t>按照安全技术规范的要求</w:t>
      </w:r>
      <w:r>
        <w:rPr>
          <w:rFonts w:hint="eastAsia" w:ascii="仿宋_GB2312" w:hAnsi="仿宋_GB2312" w:eastAsia="仿宋_GB2312" w:cs="仿宋_GB2312"/>
          <w:color w:val="auto"/>
          <w:sz w:val="32"/>
          <w:szCs w:val="32"/>
        </w:rPr>
        <w:t>对气瓶进行</w:t>
      </w:r>
      <w:r>
        <w:rPr>
          <w:rFonts w:hint="eastAsia" w:ascii="仿宋_GB2312" w:hAnsi="仿宋_GB2312" w:eastAsia="仿宋_GB2312" w:cs="仿宋_GB2312"/>
          <w:color w:val="auto"/>
          <w:sz w:val="32"/>
          <w:szCs w:val="32"/>
          <w:lang w:eastAsia="zh-CN"/>
        </w:rPr>
        <w:t>报废</w:t>
      </w:r>
      <w:r>
        <w:rPr>
          <w:rFonts w:hint="eastAsia" w:ascii="仿宋_GB2312" w:hAnsi="仿宋_GB2312" w:eastAsia="仿宋_GB2312" w:cs="仿宋_GB2312"/>
          <w:color w:val="auto"/>
          <w:sz w:val="32"/>
          <w:szCs w:val="32"/>
        </w:rPr>
        <w:t>处理，</w:t>
      </w:r>
      <w:r>
        <w:rPr>
          <w:rFonts w:hint="eastAsia" w:ascii="仿宋_GB2312" w:hAnsi="仿宋_GB2312" w:eastAsia="仿宋_GB2312" w:cs="仿宋_GB2312"/>
          <w:color w:val="auto"/>
          <w:sz w:val="32"/>
          <w:szCs w:val="32"/>
          <w:lang w:eastAsia="zh-CN"/>
        </w:rPr>
        <w:t>报废处理</w:t>
      </w:r>
      <w:r>
        <w:rPr>
          <w:rFonts w:hint="eastAsia" w:ascii="仿宋_GB2312" w:hAnsi="仿宋_GB2312" w:eastAsia="仿宋_GB2312" w:cs="仿宋_GB2312"/>
          <w:color w:val="auto"/>
          <w:sz w:val="32"/>
          <w:szCs w:val="32"/>
        </w:rPr>
        <w:t>前由</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场监督管理局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住房和城乡建设局现场联合核对清点，并将废旧气瓶置换信息登记表和废旧气瓶报废签收单一并提交查验，市场监督管理局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住房和城乡建设局在验收单据上签字盖章后由充装单位向</w:t>
      </w:r>
      <w:r>
        <w:rPr>
          <w:rFonts w:hint="eastAsia" w:ascii="仿宋_GB2312" w:hAnsi="仿宋_GB2312" w:eastAsia="仿宋_GB2312" w:cs="仿宋_GB2312"/>
          <w:color w:val="auto"/>
          <w:sz w:val="32"/>
          <w:szCs w:val="32"/>
          <w:lang w:eastAsia="zh-CN"/>
        </w:rPr>
        <w:t>区县</w:t>
      </w:r>
      <w:r>
        <w:rPr>
          <w:rFonts w:hint="eastAsia" w:ascii="仿宋_GB2312" w:hAnsi="仿宋_GB2312" w:eastAsia="仿宋_GB2312" w:cs="仿宋_GB2312"/>
          <w:color w:val="auto"/>
          <w:sz w:val="32"/>
          <w:szCs w:val="32"/>
        </w:rPr>
        <w:t>财政局提交申请补贴。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lang w:eastAsia="zh-CN"/>
        </w:rPr>
      </w:pPr>
      <w:r>
        <w:rPr>
          <w:rFonts w:hint="eastAsia" w:ascii="仿宋_GB2312" w:hAnsi="仿宋_GB2312" w:eastAsia="仿宋_GB2312" w:cs="仿宋_GB2312"/>
          <w:color w:val="auto"/>
          <w:sz w:val="32"/>
          <w:szCs w:val="32"/>
        </w:rPr>
        <w:t>四、市财政局</w:t>
      </w:r>
      <w:r>
        <w:rPr>
          <w:rFonts w:hint="eastAsia" w:ascii="仿宋_GB2312" w:hAnsi="仿宋_GB2312" w:eastAsia="仿宋_GB2312" w:cs="仿宋_GB2312"/>
          <w:color w:val="auto"/>
          <w:sz w:val="32"/>
          <w:szCs w:val="32"/>
          <w:lang w:eastAsia="zh-CN"/>
        </w:rPr>
        <w:t>将所需补贴资金下达</w:t>
      </w:r>
      <w:r>
        <w:rPr>
          <w:rFonts w:hint="eastAsia" w:ascii="仿宋_GB2312" w:hAnsi="仿宋_GB2312" w:eastAsia="仿宋_GB2312" w:cs="仿宋_GB2312"/>
          <w:color w:val="auto"/>
          <w:sz w:val="32"/>
          <w:szCs w:val="32"/>
        </w:rPr>
        <w:t>各区县财政局,</w:t>
      </w:r>
      <w:r>
        <w:rPr>
          <w:rFonts w:hint="eastAsia" w:ascii="仿宋_GB2312" w:hAnsi="仿宋_GB2312" w:eastAsia="仿宋_GB2312" w:cs="仿宋_GB2312"/>
          <w:color w:val="auto"/>
          <w:sz w:val="32"/>
          <w:szCs w:val="32"/>
          <w:lang w:eastAsia="zh-CN"/>
        </w:rPr>
        <w:t>各区县市场监管局会同财政局将补贴资金拨付到</w:t>
      </w:r>
      <w:r>
        <w:rPr>
          <w:rFonts w:hint="eastAsia" w:ascii="仿宋_GB2312" w:hAnsi="仿宋_GB2312" w:eastAsia="仿宋_GB2312" w:cs="仿宋_GB2312"/>
          <w:color w:val="auto"/>
          <w:sz w:val="32"/>
          <w:szCs w:val="32"/>
        </w:rPr>
        <w:t>气瓶置换单位</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lang w:eastAsia="zh-CN"/>
        </w:rPr>
        <w:sectPr>
          <w:footerReference r:id="rId3" w:type="default"/>
          <w:pgSz w:w="11906" w:h="16838"/>
          <w:pgMar w:top="2098" w:right="1474" w:bottom="1984" w:left="1587" w:header="851" w:footer="1417"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b w:val="0"/>
          <w:bCs w:val="0"/>
          <w:color w:val="auto"/>
          <w:sz w:val="44"/>
          <w:szCs w:val="52"/>
          <w:lang w:val="en-US" w:eastAsia="zh-CN"/>
        </w:rPr>
      </w:pPr>
      <w:r>
        <w:rPr>
          <w:rFonts w:hint="eastAsia" w:ascii="方正小标宋简体" w:hAnsi="方正小标宋简体" w:eastAsia="方正小标宋简体" w:cs="方正小标宋简体"/>
          <w:b w:val="0"/>
          <w:bCs w:val="0"/>
          <w:color w:val="auto"/>
          <w:sz w:val="44"/>
          <w:szCs w:val="44"/>
        </w:rPr>
        <w:t>液化石油气</w:t>
      </w:r>
      <w:r>
        <w:rPr>
          <w:rFonts w:hint="eastAsia" w:ascii="方正小标宋简体" w:hAnsi="方正小标宋简体" w:eastAsia="方正小标宋简体" w:cs="方正小标宋简体"/>
          <w:b w:val="0"/>
          <w:bCs w:val="0"/>
          <w:color w:val="auto"/>
          <w:sz w:val="44"/>
          <w:szCs w:val="52"/>
          <w:lang w:val="en-US" w:eastAsia="zh-CN"/>
        </w:rPr>
        <w:t>废旧气瓶置换信息登记表（充装站）</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b/>
          <w:bCs/>
          <w:color w:val="auto"/>
          <w:sz w:val="24"/>
          <w:szCs w:val="24"/>
          <w:lang w:val="en-US" w:eastAsia="zh-CN"/>
        </w:rPr>
      </w:pPr>
    </w:p>
    <w:p>
      <w:pPr>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液化石油气充装站名称：                           联系人：                  电话：                     日期：</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111"/>
        <w:gridCol w:w="1270"/>
        <w:gridCol w:w="1536"/>
        <w:gridCol w:w="1708"/>
        <w:gridCol w:w="1412"/>
        <w:gridCol w:w="1303"/>
        <w:gridCol w:w="1303"/>
        <w:gridCol w:w="1303"/>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5" w:type="dxa"/>
            <w:noWrap w:val="0"/>
            <w:vAlign w:val="center"/>
          </w:tcPr>
          <w:p>
            <w:pPr>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序号</w:t>
            </w:r>
          </w:p>
        </w:tc>
        <w:tc>
          <w:tcPr>
            <w:tcW w:w="1200" w:type="dxa"/>
            <w:noWrap w:val="0"/>
            <w:vAlign w:val="center"/>
          </w:tcPr>
          <w:p>
            <w:pPr>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姓名</w:t>
            </w:r>
          </w:p>
        </w:tc>
        <w:tc>
          <w:tcPr>
            <w:tcW w:w="1380" w:type="dxa"/>
            <w:noWrap w:val="0"/>
            <w:vAlign w:val="center"/>
          </w:tcPr>
          <w:p>
            <w:pPr>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联系方式</w:t>
            </w:r>
          </w:p>
        </w:tc>
        <w:tc>
          <w:tcPr>
            <w:tcW w:w="1650" w:type="dxa"/>
            <w:noWrap w:val="0"/>
            <w:vAlign w:val="center"/>
          </w:tcPr>
          <w:p>
            <w:pPr>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镇（街道）</w:t>
            </w:r>
          </w:p>
        </w:tc>
        <w:tc>
          <w:tcPr>
            <w:tcW w:w="1845" w:type="dxa"/>
            <w:noWrap w:val="0"/>
            <w:vAlign w:val="center"/>
          </w:tcPr>
          <w:p>
            <w:pPr>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村（社区）</w:t>
            </w:r>
          </w:p>
        </w:tc>
        <w:tc>
          <w:tcPr>
            <w:tcW w:w="1542" w:type="dxa"/>
            <w:noWrap w:val="0"/>
            <w:vAlign w:val="center"/>
          </w:tcPr>
          <w:p>
            <w:pPr>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身份证号</w:t>
            </w:r>
          </w:p>
        </w:tc>
        <w:tc>
          <w:tcPr>
            <w:tcW w:w="1418" w:type="dxa"/>
            <w:noWrap w:val="0"/>
            <w:vAlign w:val="center"/>
          </w:tcPr>
          <w:p>
            <w:pPr>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规格</w:t>
            </w:r>
          </w:p>
        </w:tc>
        <w:tc>
          <w:tcPr>
            <w:tcW w:w="1418" w:type="dxa"/>
            <w:noWrap w:val="0"/>
            <w:vAlign w:val="center"/>
          </w:tcPr>
          <w:p>
            <w:pPr>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旧瓶编码</w:t>
            </w:r>
          </w:p>
        </w:tc>
        <w:tc>
          <w:tcPr>
            <w:tcW w:w="1418" w:type="dxa"/>
            <w:noWrap w:val="0"/>
            <w:vAlign w:val="center"/>
          </w:tcPr>
          <w:p>
            <w:pPr>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新瓶编码</w:t>
            </w:r>
          </w:p>
        </w:tc>
        <w:tc>
          <w:tcPr>
            <w:tcW w:w="1418" w:type="dxa"/>
            <w:noWrap w:val="0"/>
            <w:vAlign w:val="center"/>
          </w:tcPr>
          <w:p>
            <w:pPr>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用户签字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5" w:type="dxa"/>
            <w:noWrap w:val="0"/>
            <w:vAlign w:val="top"/>
          </w:tcPr>
          <w:p>
            <w:pPr>
              <w:rPr>
                <w:rFonts w:hint="eastAsia" w:ascii="宋体" w:hAnsi="宋体" w:eastAsia="宋体" w:cs="宋体"/>
                <w:color w:val="auto"/>
                <w:vertAlign w:val="baseline"/>
                <w:lang w:val="en-US" w:eastAsia="zh-CN"/>
              </w:rPr>
            </w:pPr>
          </w:p>
        </w:tc>
        <w:tc>
          <w:tcPr>
            <w:tcW w:w="1200" w:type="dxa"/>
            <w:noWrap w:val="0"/>
            <w:vAlign w:val="top"/>
          </w:tcPr>
          <w:p>
            <w:pPr>
              <w:rPr>
                <w:rFonts w:hint="eastAsia" w:ascii="宋体" w:hAnsi="宋体" w:eastAsia="宋体" w:cs="宋体"/>
                <w:color w:val="auto"/>
                <w:vertAlign w:val="baseline"/>
                <w:lang w:val="en-US" w:eastAsia="zh-CN"/>
              </w:rPr>
            </w:pPr>
          </w:p>
        </w:tc>
        <w:tc>
          <w:tcPr>
            <w:tcW w:w="1380" w:type="dxa"/>
            <w:noWrap w:val="0"/>
            <w:vAlign w:val="top"/>
          </w:tcPr>
          <w:p>
            <w:pPr>
              <w:rPr>
                <w:rFonts w:hint="eastAsia" w:ascii="宋体" w:hAnsi="宋体" w:eastAsia="宋体" w:cs="宋体"/>
                <w:color w:val="auto"/>
                <w:vertAlign w:val="baseline"/>
                <w:lang w:val="en-US" w:eastAsia="zh-CN"/>
              </w:rPr>
            </w:pPr>
          </w:p>
        </w:tc>
        <w:tc>
          <w:tcPr>
            <w:tcW w:w="1650" w:type="dxa"/>
            <w:noWrap w:val="0"/>
            <w:vAlign w:val="top"/>
          </w:tcPr>
          <w:p>
            <w:pPr>
              <w:rPr>
                <w:rFonts w:hint="eastAsia" w:ascii="宋体" w:hAnsi="宋体" w:eastAsia="宋体" w:cs="宋体"/>
                <w:color w:val="auto"/>
                <w:vertAlign w:val="baseline"/>
                <w:lang w:val="en-US" w:eastAsia="zh-CN"/>
              </w:rPr>
            </w:pPr>
          </w:p>
        </w:tc>
        <w:tc>
          <w:tcPr>
            <w:tcW w:w="1845" w:type="dxa"/>
            <w:noWrap w:val="0"/>
            <w:vAlign w:val="top"/>
          </w:tcPr>
          <w:p>
            <w:pPr>
              <w:rPr>
                <w:rFonts w:hint="eastAsia" w:ascii="宋体" w:hAnsi="宋体" w:eastAsia="宋体" w:cs="宋体"/>
                <w:color w:val="auto"/>
                <w:vertAlign w:val="baseline"/>
                <w:lang w:val="en-US" w:eastAsia="zh-CN"/>
              </w:rPr>
            </w:pPr>
          </w:p>
        </w:tc>
        <w:tc>
          <w:tcPr>
            <w:tcW w:w="1542"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5" w:type="dxa"/>
            <w:noWrap w:val="0"/>
            <w:vAlign w:val="top"/>
          </w:tcPr>
          <w:p>
            <w:pPr>
              <w:rPr>
                <w:rFonts w:hint="eastAsia" w:ascii="宋体" w:hAnsi="宋体" w:eastAsia="宋体" w:cs="宋体"/>
                <w:color w:val="auto"/>
                <w:vertAlign w:val="baseline"/>
                <w:lang w:val="en-US" w:eastAsia="zh-CN"/>
              </w:rPr>
            </w:pPr>
          </w:p>
        </w:tc>
        <w:tc>
          <w:tcPr>
            <w:tcW w:w="1200" w:type="dxa"/>
            <w:noWrap w:val="0"/>
            <w:vAlign w:val="top"/>
          </w:tcPr>
          <w:p>
            <w:pPr>
              <w:rPr>
                <w:rFonts w:hint="eastAsia" w:ascii="宋体" w:hAnsi="宋体" w:eastAsia="宋体" w:cs="宋体"/>
                <w:color w:val="auto"/>
                <w:vertAlign w:val="baseline"/>
                <w:lang w:val="en-US" w:eastAsia="zh-CN"/>
              </w:rPr>
            </w:pPr>
          </w:p>
        </w:tc>
        <w:tc>
          <w:tcPr>
            <w:tcW w:w="1380" w:type="dxa"/>
            <w:noWrap w:val="0"/>
            <w:vAlign w:val="top"/>
          </w:tcPr>
          <w:p>
            <w:pPr>
              <w:rPr>
                <w:rFonts w:hint="eastAsia" w:ascii="宋体" w:hAnsi="宋体" w:eastAsia="宋体" w:cs="宋体"/>
                <w:color w:val="auto"/>
                <w:vertAlign w:val="baseline"/>
                <w:lang w:val="en-US" w:eastAsia="zh-CN"/>
              </w:rPr>
            </w:pPr>
          </w:p>
        </w:tc>
        <w:tc>
          <w:tcPr>
            <w:tcW w:w="1650" w:type="dxa"/>
            <w:noWrap w:val="0"/>
            <w:vAlign w:val="top"/>
          </w:tcPr>
          <w:p>
            <w:pPr>
              <w:rPr>
                <w:rFonts w:hint="eastAsia" w:ascii="宋体" w:hAnsi="宋体" w:eastAsia="宋体" w:cs="宋体"/>
                <w:color w:val="auto"/>
                <w:vertAlign w:val="baseline"/>
                <w:lang w:val="en-US" w:eastAsia="zh-CN"/>
              </w:rPr>
            </w:pPr>
          </w:p>
        </w:tc>
        <w:tc>
          <w:tcPr>
            <w:tcW w:w="1845" w:type="dxa"/>
            <w:noWrap w:val="0"/>
            <w:vAlign w:val="top"/>
          </w:tcPr>
          <w:p>
            <w:pPr>
              <w:rPr>
                <w:rFonts w:hint="eastAsia" w:ascii="宋体" w:hAnsi="宋体" w:eastAsia="宋体" w:cs="宋体"/>
                <w:color w:val="auto"/>
                <w:vertAlign w:val="baseline"/>
                <w:lang w:val="en-US" w:eastAsia="zh-CN"/>
              </w:rPr>
            </w:pPr>
          </w:p>
        </w:tc>
        <w:tc>
          <w:tcPr>
            <w:tcW w:w="1542"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5" w:type="dxa"/>
            <w:noWrap w:val="0"/>
            <w:vAlign w:val="top"/>
          </w:tcPr>
          <w:p>
            <w:pPr>
              <w:rPr>
                <w:rFonts w:hint="eastAsia" w:ascii="宋体" w:hAnsi="宋体" w:eastAsia="宋体" w:cs="宋体"/>
                <w:color w:val="auto"/>
                <w:vertAlign w:val="baseline"/>
                <w:lang w:val="en-US" w:eastAsia="zh-CN"/>
              </w:rPr>
            </w:pPr>
          </w:p>
        </w:tc>
        <w:tc>
          <w:tcPr>
            <w:tcW w:w="1200" w:type="dxa"/>
            <w:noWrap w:val="0"/>
            <w:vAlign w:val="top"/>
          </w:tcPr>
          <w:p>
            <w:pPr>
              <w:rPr>
                <w:rFonts w:hint="eastAsia" w:ascii="宋体" w:hAnsi="宋体" w:eastAsia="宋体" w:cs="宋体"/>
                <w:color w:val="auto"/>
                <w:vertAlign w:val="baseline"/>
                <w:lang w:val="en-US" w:eastAsia="zh-CN"/>
              </w:rPr>
            </w:pPr>
          </w:p>
        </w:tc>
        <w:tc>
          <w:tcPr>
            <w:tcW w:w="1380" w:type="dxa"/>
            <w:noWrap w:val="0"/>
            <w:vAlign w:val="top"/>
          </w:tcPr>
          <w:p>
            <w:pPr>
              <w:rPr>
                <w:rFonts w:hint="eastAsia" w:ascii="宋体" w:hAnsi="宋体" w:eastAsia="宋体" w:cs="宋体"/>
                <w:color w:val="auto"/>
                <w:vertAlign w:val="baseline"/>
                <w:lang w:val="en-US" w:eastAsia="zh-CN"/>
              </w:rPr>
            </w:pPr>
          </w:p>
        </w:tc>
        <w:tc>
          <w:tcPr>
            <w:tcW w:w="1650" w:type="dxa"/>
            <w:noWrap w:val="0"/>
            <w:vAlign w:val="top"/>
          </w:tcPr>
          <w:p>
            <w:pPr>
              <w:rPr>
                <w:rFonts w:hint="eastAsia" w:ascii="宋体" w:hAnsi="宋体" w:eastAsia="宋体" w:cs="宋体"/>
                <w:color w:val="auto"/>
                <w:vertAlign w:val="baseline"/>
                <w:lang w:val="en-US" w:eastAsia="zh-CN"/>
              </w:rPr>
            </w:pPr>
          </w:p>
        </w:tc>
        <w:tc>
          <w:tcPr>
            <w:tcW w:w="1845" w:type="dxa"/>
            <w:noWrap w:val="0"/>
            <w:vAlign w:val="top"/>
          </w:tcPr>
          <w:p>
            <w:pPr>
              <w:rPr>
                <w:rFonts w:hint="eastAsia" w:ascii="宋体" w:hAnsi="宋体" w:eastAsia="宋体" w:cs="宋体"/>
                <w:color w:val="auto"/>
                <w:vertAlign w:val="baseline"/>
                <w:lang w:val="en-US" w:eastAsia="zh-CN"/>
              </w:rPr>
            </w:pPr>
          </w:p>
        </w:tc>
        <w:tc>
          <w:tcPr>
            <w:tcW w:w="1542"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5" w:type="dxa"/>
            <w:noWrap w:val="0"/>
            <w:vAlign w:val="top"/>
          </w:tcPr>
          <w:p>
            <w:pPr>
              <w:rPr>
                <w:rFonts w:hint="eastAsia" w:ascii="宋体" w:hAnsi="宋体" w:eastAsia="宋体" w:cs="宋体"/>
                <w:color w:val="auto"/>
                <w:vertAlign w:val="baseline"/>
                <w:lang w:val="en-US" w:eastAsia="zh-CN"/>
              </w:rPr>
            </w:pPr>
          </w:p>
        </w:tc>
        <w:tc>
          <w:tcPr>
            <w:tcW w:w="1200" w:type="dxa"/>
            <w:noWrap w:val="0"/>
            <w:vAlign w:val="top"/>
          </w:tcPr>
          <w:p>
            <w:pPr>
              <w:rPr>
                <w:rFonts w:hint="eastAsia" w:ascii="宋体" w:hAnsi="宋体" w:eastAsia="宋体" w:cs="宋体"/>
                <w:color w:val="auto"/>
                <w:vertAlign w:val="baseline"/>
                <w:lang w:val="en-US" w:eastAsia="zh-CN"/>
              </w:rPr>
            </w:pPr>
          </w:p>
        </w:tc>
        <w:tc>
          <w:tcPr>
            <w:tcW w:w="1380" w:type="dxa"/>
            <w:noWrap w:val="0"/>
            <w:vAlign w:val="top"/>
          </w:tcPr>
          <w:p>
            <w:pPr>
              <w:rPr>
                <w:rFonts w:hint="eastAsia" w:ascii="宋体" w:hAnsi="宋体" w:eastAsia="宋体" w:cs="宋体"/>
                <w:color w:val="auto"/>
                <w:vertAlign w:val="baseline"/>
                <w:lang w:val="en-US" w:eastAsia="zh-CN"/>
              </w:rPr>
            </w:pPr>
          </w:p>
        </w:tc>
        <w:tc>
          <w:tcPr>
            <w:tcW w:w="1650" w:type="dxa"/>
            <w:noWrap w:val="0"/>
            <w:vAlign w:val="top"/>
          </w:tcPr>
          <w:p>
            <w:pPr>
              <w:rPr>
                <w:rFonts w:hint="eastAsia" w:ascii="宋体" w:hAnsi="宋体" w:eastAsia="宋体" w:cs="宋体"/>
                <w:color w:val="auto"/>
                <w:vertAlign w:val="baseline"/>
                <w:lang w:val="en-US" w:eastAsia="zh-CN"/>
              </w:rPr>
            </w:pPr>
          </w:p>
        </w:tc>
        <w:tc>
          <w:tcPr>
            <w:tcW w:w="1845" w:type="dxa"/>
            <w:noWrap w:val="0"/>
            <w:vAlign w:val="top"/>
          </w:tcPr>
          <w:p>
            <w:pPr>
              <w:rPr>
                <w:rFonts w:hint="eastAsia" w:ascii="宋体" w:hAnsi="宋体" w:eastAsia="宋体" w:cs="宋体"/>
                <w:color w:val="auto"/>
                <w:vertAlign w:val="baseline"/>
                <w:lang w:val="en-US" w:eastAsia="zh-CN"/>
              </w:rPr>
            </w:pPr>
          </w:p>
        </w:tc>
        <w:tc>
          <w:tcPr>
            <w:tcW w:w="1542"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5" w:type="dxa"/>
            <w:noWrap w:val="0"/>
            <w:vAlign w:val="top"/>
          </w:tcPr>
          <w:p>
            <w:pPr>
              <w:rPr>
                <w:rFonts w:hint="eastAsia" w:ascii="宋体" w:hAnsi="宋体" w:eastAsia="宋体" w:cs="宋体"/>
                <w:color w:val="auto"/>
                <w:vertAlign w:val="baseline"/>
                <w:lang w:val="en-US" w:eastAsia="zh-CN"/>
              </w:rPr>
            </w:pPr>
          </w:p>
        </w:tc>
        <w:tc>
          <w:tcPr>
            <w:tcW w:w="1200" w:type="dxa"/>
            <w:noWrap w:val="0"/>
            <w:vAlign w:val="top"/>
          </w:tcPr>
          <w:p>
            <w:pPr>
              <w:rPr>
                <w:rFonts w:hint="eastAsia" w:ascii="宋体" w:hAnsi="宋体" w:eastAsia="宋体" w:cs="宋体"/>
                <w:color w:val="auto"/>
                <w:vertAlign w:val="baseline"/>
                <w:lang w:val="en-US" w:eastAsia="zh-CN"/>
              </w:rPr>
            </w:pPr>
          </w:p>
        </w:tc>
        <w:tc>
          <w:tcPr>
            <w:tcW w:w="1380" w:type="dxa"/>
            <w:noWrap w:val="0"/>
            <w:vAlign w:val="top"/>
          </w:tcPr>
          <w:p>
            <w:pPr>
              <w:rPr>
                <w:rFonts w:hint="eastAsia" w:ascii="宋体" w:hAnsi="宋体" w:eastAsia="宋体" w:cs="宋体"/>
                <w:color w:val="auto"/>
                <w:vertAlign w:val="baseline"/>
                <w:lang w:val="en-US" w:eastAsia="zh-CN"/>
              </w:rPr>
            </w:pPr>
          </w:p>
        </w:tc>
        <w:tc>
          <w:tcPr>
            <w:tcW w:w="1650" w:type="dxa"/>
            <w:noWrap w:val="0"/>
            <w:vAlign w:val="top"/>
          </w:tcPr>
          <w:p>
            <w:pPr>
              <w:rPr>
                <w:rFonts w:hint="eastAsia" w:ascii="宋体" w:hAnsi="宋体" w:eastAsia="宋体" w:cs="宋体"/>
                <w:color w:val="auto"/>
                <w:vertAlign w:val="baseline"/>
                <w:lang w:val="en-US" w:eastAsia="zh-CN"/>
              </w:rPr>
            </w:pPr>
          </w:p>
        </w:tc>
        <w:tc>
          <w:tcPr>
            <w:tcW w:w="1845" w:type="dxa"/>
            <w:noWrap w:val="0"/>
            <w:vAlign w:val="top"/>
          </w:tcPr>
          <w:p>
            <w:pPr>
              <w:rPr>
                <w:rFonts w:hint="eastAsia" w:ascii="宋体" w:hAnsi="宋体" w:eastAsia="宋体" w:cs="宋体"/>
                <w:color w:val="auto"/>
                <w:vertAlign w:val="baseline"/>
                <w:lang w:val="en-US" w:eastAsia="zh-CN"/>
              </w:rPr>
            </w:pPr>
          </w:p>
        </w:tc>
        <w:tc>
          <w:tcPr>
            <w:tcW w:w="1542"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5" w:type="dxa"/>
            <w:noWrap w:val="0"/>
            <w:vAlign w:val="top"/>
          </w:tcPr>
          <w:p>
            <w:pPr>
              <w:rPr>
                <w:rFonts w:hint="eastAsia" w:ascii="宋体" w:hAnsi="宋体" w:eastAsia="宋体" w:cs="宋体"/>
                <w:color w:val="auto"/>
                <w:vertAlign w:val="baseline"/>
                <w:lang w:val="en-US" w:eastAsia="zh-CN"/>
              </w:rPr>
            </w:pPr>
          </w:p>
        </w:tc>
        <w:tc>
          <w:tcPr>
            <w:tcW w:w="1200" w:type="dxa"/>
            <w:noWrap w:val="0"/>
            <w:vAlign w:val="top"/>
          </w:tcPr>
          <w:p>
            <w:pPr>
              <w:rPr>
                <w:rFonts w:hint="eastAsia" w:ascii="宋体" w:hAnsi="宋体" w:eastAsia="宋体" w:cs="宋体"/>
                <w:color w:val="auto"/>
                <w:vertAlign w:val="baseline"/>
                <w:lang w:val="en-US" w:eastAsia="zh-CN"/>
              </w:rPr>
            </w:pPr>
          </w:p>
        </w:tc>
        <w:tc>
          <w:tcPr>
            <w:tcW w:w="1380" w:type="dxa"/>
            <w:noWrap w:val="0"/>
            <w:vAlign w:val="top"/>
          </w:tcPr>
          <w:p>
            <w:pPr>
              <w:rPr>
                <w:rFonts w:hint="eastAsia" w:ascii="宋体" w:hAnsi="宋体" w:eastAsia="宋体" w:cs="宋体"/>
                <w:color w:val="auto"/>
                <w:vertAlign w:val="baseline"/>
                <w:lang w:val="en-US" w:eastAsia="zh-CN"/>
              </w:rPr>
            </w:pPr>
          </w:p>
        </w:tc>
        <w:tc>
          <w:tcPr>
            <w:tcW w:w="1650" w:type="dxa"/>
            <w:noWrap w:val="0"/>
            <w:vAlign w:val="top"/>
          </w:tcPr>
          <w:p>
            <w:pPr>
              <w:rPr>
                <w:rFonts w:hint="eastAsia" w:ascii="宋体" w:hAnsi="宋体" w:eastAsia="宋体" w:cs="宋体"/>
                <w:color w:val="auto"/>
                <w:vertAlign w:val="baseline"/>
                <w:lang w:val="en-US" w:eastAsia="zh-CN"/>
              </w:rPr>
            </w:pPr>
          </w:p>
        </w:tc>
        <w:tc>
          <w:tcPr>
            <w:tcW w:w="1845" w:type="dxa"/>
            <w:noWrap w:val="0"/>
            <w:vAlign w:val="top"/>
          </w:tcPr>
          <w:p>
            <w:pPr>
              <w:rPr>
                <w:rFonts w:hint="eastAsia" w:ascii="宋体" w:hAnsi="宋体" w:eastAsia="宋体" w:cs="宋体"/>
                <w:color w:val="auto"/>
                <w:vertAlign w:val="baseline"/>
                <w:lang w:val="en-US" w:eastAsia="zh-CN"/>
              </w:rPr>
            </w:pPr>
          </w:p>
        </w:tc>
        <w:tc>
          <w:tcPr>
            <w:tcW w:w="1542"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5" w:type="dxa"/>
            <w:noWrap w:val="0"/>
            <w:vAlign w:val="top"/>
          </w:tcPr>
          <w:p>
            <w:pPr>
              <w:rPr>
                <w:rFonts w:hint="eastAsia" w:ascii="宋体" w:hAnsi="宋体" w:eastAsia="宋体" w:cs="宋体"/>
                <w:color w:val="auto"/>
                <w:vertAlign w:val="baseline"/>
                <w:lang w:val="en-US" w:eastAsia="zh-CN"/>
              </w:rPr>
            </w:pPr>
          </w:p>
        </w:tc>
        <w:tc>
          <w:tcPr>
            <w:tcW w:w="1200" w:type="dxa"/>
            <w:noWrap w:val="0"/>
            <w:vAlign w:val="top"/>
          </w:tcPr>
          <w:p>
            <w:pPr>
              <w:rPr>
                <w:rFonts w:hint="eastAsia" w:ascii="宋体" w:hAnsi="宋体" w:eastAsia="宋体" w:cs="宋体"/>
                <w:color w:val="auto"/>
                <w:vertAlign w:val="baseline"/>
                <w:lang w:val="en-US" w:eastAsia="zh-CN"/>
              </w:rPr>
            </w:pPr>
          </w:p>
        </w:tc>
        <w:tc>
          <w:tcPr>
            <w:tcW w:w="1380" w:type="dxa"/>
            <w:noWrap w:val="0"/>
            <w:vAlign w:val="top"/>
          </w:tcPr>
          <w:p>
            <w:pPr>
              <w:rPr>
                <w:rFonts w:hint="eastAsia" w:ascii="宋体" w:hAnsi="宋体" w:eastAsia="宋体" w:cs="宋体"/>
                <w:color w:val="auto"/>
                <w:vertAlign w:val="baseline"/>
                <w:lang w:val="en-US" w:eastAsia="zh-CN"/>
              </w:rPr>
            </w:pPr>
          </w:p>
        </w:tc>
        <w:tc>
          <w:tcPr>
            <w:tcW w:w="1650" w:type="dxa"/>
            <w:noWrap w:val="0"/>
            <w:vAlign w:val="top"/>
          </w:tcPr>
          <w:p>
            <w:pPr>
              <w:rPr>
                <w:rFonts w:hint="eastAsia" w:ascii="宋体" w:hAnsi="宋体" w:eastAsia="宋体" w:cs="宋体"/>
                <w:color w:val="auto"/>
                <w:vertAlign w:val="baseline"/>
                <w:lang w:val="en-US" w:eastAsia="zh-CN"/>
              </w:rPr>
            </w:pPr>
          </w:p>
        </w:tc>
        <w:tc>
          <w:tcPr>
            <w:tcW w:w="1845" w:type="dxa"/>
            <w:noWrap w:val="0"/>
            <w:vAlign w:val="top"/>
          </w:tcPr>
          <w:p>
            <w:pPr>
              <w:rPr>
                <w:rFonts w:hint="eastAsia" w:ascii="宋体" w:hAnsi="宋体" w:eastAsia="宋体" w:cs="宋体"/>
                <w:color w:val="auto"/>
                <w:vertAlign w:val="baseline"/>
                <w:lang w:val="en-US" w:eastAsia="zh-CN"/>
              </w:rPr>
            </w:pPr>
          </w:p>
        </w:tc>
        <w:tc>
          <w:tcPr>
            <w:tcW w:w="1542"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c>
          <w:tcPr>
            <w:tcW w:w="1418" w:type="dxa"/>
            <w:noWrap w:val="0"/>
            <w:vAlign w:val="top"/>
          </w:tcPr>
          <w:p>
            <w:pPr>
              <w:rPr>
                <w:rFonts w:hint="eastAsia" w:ascii="宋体" w:hAnsi="宋体" w:eastAsia="宋体" w:cs="宋体"/>
                <w:color w:val="auto"/>
                <w:vertAlign w:val="baseline"/>
                <w:lang w:val="en-US" w:eastAsia="zh-CN"/>
              </w:rPr>
            </w:pPr>
          </w:p>
        </w:tc>
      </w:tr>
    </w:tbl>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验收单位：                                                                 验收人：</w:t>
      </w: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color w:val="auto"/>
          <w:sz w:val="24"/>
          <w:szCs w:val="32"/>
          <w:lang w:val="en-US" w:eastAsia="zh-CN"/>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验收单位：                                                                 验收人：</w:t>
      </w: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color w:val="auto"/>
          <w:sz w:val="24"/>
          <w:szCs w:val="32"/>
          <w:lang w:val="en-US" w:eastAsia="zh-CN"/>
        </w:rPr>
      </w:pPr>
    </w:p>
    <w:p>
      <w:pPr>
        <w:snapToGrid w:val="0"/>
        <w:ind w:right="629"/>
        <w:jc w:val="left"/>
        <w:rPr>
          <w:rFonts w:hint="eastAsia" w:ascii="宋体" w:hAnsi="宋体" w:eastAsia="宋体" w:cs="宋体"/>
          <w:color w:val="auto"/>
          <w:sz w:val="24"/>
          <w:szCs w:val="32"/>
          <w:lang w:val="en-US" w:eastAsia="zh-CN"/>
        </w:rPr>
        <w:sectPr>
          <w:headerReference r:id="rId4" w:type="default"/>
          <w:footerReference r:id="rId6" w:type="default"/>
          <w:headerReference r:id="rId5" w:type="even"/>
          <w:footerReference r:id="rId7" w:type="even"/>
          <w:pgSz w:w="16838" w:h="11906" w:orient="landscape"/>
          <w:pgMar w:top="1588" w:right="1985" w:bottom="1474" w:left="1985" w:header="851" w:footer="1418" w:gutter="0"/>
          <w:pgNumType w:fmt="numberInDash"/>
          <w:cols w:space="720" w:num="1"/>
          <w:docGrid w:type="linesAndChars" w:linePitch="579" w:charSpace="-849"/>
        </w:sectPr>
      </w:pPr>
      <w:r>
        <w:rPr>
          <w:rFonts w:hint="eastAsia" w:ascii="宋体" w:hAnsi="宋体" w:eastAsia="宋体" w:cs="宋体"/>
          <w:color w:val="auto"/>
          <w:sz w:val="24"/>
          <w:szCs w:val="32"/>
          <w:lang w:val="en-US" w:eastAsia="zh-CN"/>
        </w:rPr>
        <w:t>验收日期：</w:t>
      </w:r>
    </w:p>
    <w:p>
      <w:pPr>
        <w:keepNext w:val="0"/>
        <w:keepLines w:val="0"/>
        <w:pageBreakBefore w:val="0"/>
        <w:widowControl w:val="0"/>
        <w:kinsoku/>
        <w:wordWrap/>
        <w:overflowPunct/>
        <w:topLinePunct w:val="0"/>
        <w:autoSpaceDE/>
        <w:autoSpaceDN/>
        <w:bidi w:val="0"/>
        <w:adjustRightInd/>
        <w:snapToGrid w:val="0"/>
        <w:textAlignment w:val="auto"/>
        <w:rPr>
          <w:rFonts w:hint="eastAsia" w:ascii="黑体" w:hAnsi="黑体" w:eastAsia="黑体" w:cs="黑体"/>
          <w:b w:val="0"/>
          <w:bCs w:val="0"/>
          <w:color w:val="auto"/>
          <w:sz w:val="28"/>
          <w:szCs w:val="36"/>
          <w:lang w:val="en-US" w:eastAsia="zh-CN"/>
        </w:rPr>
      </w:pPr>
      <w:r>
        <w:rPr>
          <w:rFonts w:hint="eastAsia" w:ascii="黑体" w:hAnsi="黑体" w:eastAsia="黑体" w:cs="黑体"/>
          <w:b w:val="0"/>
          <w:bCs w:val="0"/>
          <w:color w:val="auto"/>
          <w:sz w:val="28"/>
          <w:szCs w:val="36"/>
          <w:lang w:val="en-US" w:eastAsia="zh-CN"/>
        </w:rPr>
        <w:t>附件3</w:t>
      </w:r>
    </w:p>
    <w:p>
      <w:pPr>
        <w:keepNext w:val="0"/>
        <w:keepLines w:val="0"/>
        <w:pageBreakBefore w:val="0"/>
        <w:widowControl w:val="0"/>
        <w:kinsoku/>
        <w:wordWrap/>
        <w:overflowPunct/>
        <w:topLinePunct w:val="0"/>
        <w:autoSpaceDE/>
        <w:autoSpaceDN/>
        <w:bidi w:val="0"/>
        <w:adjustRightInd/>
        <w:snapToGrid w:val="0"/>
        <w:textAlignment w:val="auto"/>
        <w:rPr>
          <w:rFonts w:hint="eastAsia"/>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液化石油气废旧气瓶报废签收单</w:t>
      </w: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方正小标宋简体" w:hAnsi="方正小标宋简体" w:eastAsia="方正小标宋简体" w:cs="方正小标宋简体"/>
          <w:b w:val="0"/>
          <w:bCs w:val="0"/>
          <w:color w:val="auto"/>
          <w:sz w:val="28"/>
          <w:szCs w:val="28"/>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22" w:type="dxa"/>
            <w:gridSpan w:val="5"/>
            <w:noWrap w:val="0"/>
            <w:vAlign w:val="center"/>
          </w:tcPr>
          <w:p>
            <w:pPr>
              <w:jc w:val="left"/>
              <w:rPr>
                <w:rFonts w:hint="eastAsia" w:ascii="宋体" w:hAnsi="宋体" w:eastAsia="宋体" w:cs="宋体"/>
                <w:color w:val="auto"/>
                <w:vertAlign w:val="baseline"/>
                <w:lang w:val="en-US" w:eastAsia="zh-CN"/>
              </w:rPr>
            </w:pPr>
            <w:r>
              <w:rPr>
                <w:rFonts w:hint="eastAsia" w:ascii="宋体" w:hAnsi="宋体" w:eastAsia="宋体" w:cs="宋体"/>
                <w:color w:val="auto"/>
                <w:sz w:val="28"/>
                <w:szCs w:val="28"/>
                <w:vertAlign w:val="baseline"/>
                <w:lang w:val="en-US" w:eastAsia="zh-CN"/>
              </w:rPr>
              <w:t>气瓶充装站名称：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04" w:type="dxa"/>
            <w:noWrap w:val="0"/>
            <w:vAlign w:val="center"/>
          </w:tcPr>
          <w:p>
            <w:pPr>
              <w:jc w:val="center"/>
              <w:rPr>
                <w:rFonts w:hint="eastAsia" w:ascii="宋体" w:hAnsi="宋体" w:eastAsia="宋体" w:cs="宋体"/>
                <w:color w:val="auto"/>
                <w:sz w:val="28"/>
                <w:szCs w:val="36"/>
                <w:vertAlign w:val="baseline"/>
                <w:lang w:val="en-US" w:eastAsia="zh-CN"/>
              </w:rPr>
            </w:pPr>
            <w:r>
              <w:rPr>
                <w:rFonts w:hint="eastAsia" w:ascii="宋体" w:hAnsi="宋体" w:eastAsia="宋体" w:cs="宋体"/>
                <w:color w:val="auto"/>
                <w:sz w:val="28"/>
                <w:szCs w:val="36"/>
                <w:vertAlign w:val="baseline"/>
                <w:lang w:val="en-US" w:eastAsia="zh-CN"/>
              </w:rPr>
              <w:t>序号</w:t>
            </w:r>
          </w:p>
        </w:tc>
        <w:tc>
          <w:tcPr>
            <w:tcW w:w="1704" w:type="dxa"/>
            <w:noWrap w:val="0"/>
            <w:vAlign w:val="center"/>
          </w:tcPr>
          <w:p>
            <w:pPr>
              <w:jc w:val="center"/>
              <w:rPr>
                <w:rFonts w:hint="eastAsia" w:ascii="宋体" w:hAnsi="宋体" w:eastAsia="宋体" w:cs="宋体"/>
                <w:color w:val="auto"/>
                <w:sz w:val="28"/>
                <w:szCs w:val="36"/>
                <w:vertAlign w:val="baseline"/>
                <w:lang w:val="en-US" w:eastAsia="zh-CN"/>
              </w:rPr>
            </w:pPr>
            <w:r>
              <w:rPr>
                <w:rFonts w:hint="eastAsia" w:ascii="宋体" w:hAnsi="宋体" w:eastAsia="宋体" w:cs="宋体"/>
                <w:color w:val="auto"/>
                <w:sz w:val="28"/>
                <w:szCs w:val="36"/>
                <w:vertAlign w:val="baseline"/>
                <w:lang w:val="en-US" w:eastAsia="zh-CN"/>
              </w:rPr>
              <w:t>钢瓶编码</w:t>
            </w:r>
          </w:p>
        </w:tc>
        <w:tc>
          <w:tcPr>
            <w:tcW w:w="1704" w:type="dxa"/>
            <w:noWrap w:val="0"/>
            <w:vAlign w:val="center"/>
          </w:tcPr>
          <w:p>
            <w:pPr>
              <w:jc w:val="center"/>
              <w:rPr>
                <w:rFonts w:hint="eastAsia" w:ascii="宋体" w:hAnsi="宋体" w:eastAsia="宋体" w:cs="宋体"/>
                <w:color w:val="auto"/>
                <w:sz w:val="28"/>
                <w:szCs w:val="36"/>
                <w:vertAlign w:val="baseline"/>
                <w:lang w:val="en-US" w:eastAsia="zh-CN"/>
              </w:rPr>
            </w:pPr>
            <w:r>
              <w:rPr>
                <w:rFonts w:hint="eastAsia" w:ascii="宋体" w:hAnsi="宋体" w:eastAsia="宋体" w:cs="宋体"/>
                <w:color w:val="auto"/>
                <w:sz w:val="28"/>
                <w:szCs w:val="36"/>
                <w:vertAlign w:val="baseline"/>
                <w:lang w:val="en-US" w:eastAsia="zh-CN"/>
              </w:rPr>
              <w:t>规格（Kg）</w:t>
            </w:r>
          </w:p>
        </w:tc>
        <w:tc>
          <w:tcPr>
            <w:tcW w:w="1705" w:type="dxa"/>
            <w:noWrap w:val="0"/>
            <w:vAlign w:val="center"/>
          </w:tcPr>
          <w:p>
            <w:pPr>
              <w:jc w:val="center"/>
              <w:rPr>
                <w:rFonts w:hint="eastAsia" w:ascii="宋体" w:hAnsi="宋体" w:eastAsia="宋体" w:cs="宋体"/>
                <w:color w:val="auto"/>
                <w:sz w:val="28"/>
                <w:szCs w:val="36"/>
                <w:vertAlign w:val="baseline"/>
                <w:lang w:val="en-US" w:eastAsia="zh-CN"/>
              </w:rPr>
            </w:pPr>
            <w:r>
              <w:rPr>
                <w:rFonts w:hint="eastAsia" w:ascii="宋体" w:hAnsi="宋体" w:eastAsia="宋体" w:cs="宋体"/>
                <w:color w:val="auto"/>
                <w:sz w:val="28"/>
                <w:szCs w:val="36"/>
                <w:vertAlign w:val="baseline"/>
                <w:lang w:val="en-US" w:eastAsia="zh-CN"/>
              </w:rPr>
              <w:t>报废方式</w:t>
            </w:r>
          </w:p>
        </w:tc>
        <w:tc>
          <w:tcPr>
            <w:tcW w:w="1705" w:type="dxa"/>
            <w:noWrap w:val="0"/>
            <w:vAlign w:val="center"/>
          </w:tcPr>
          <w:p>
            <w:pPr>
              <w:jc w:val="center"/>
              <w:rPr>
                <w:rFonts w:hint="eastAsia" w:ascii="宋体" w:hAnsi="宋体" w:eastAsia="宋体" w:cs="宋体"/>
                <w:color w:val="auto"/>
                <w:sz w:val="28"/>
                <w:szCs w:val="36"/>
                <w:vertAlign w:val="baseline"/>
                <w:lang w:val="en-US" w:eastAsia="zh-CN"/>
              </w:rPr>
            </w:pPr>
            <w:r>
              <w:rPr>
                <w:rFonts w:hint="eastAsia" w:ascii="宋体" w:hAnsi="宋体" w:eastAsia="宋体" w:cs="宋体"/>
                <w:color w:val="auto"/>
                <w:sz w:val="28"/>
                <w:szCs w:val="3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4"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c>
          <w:tcPr>
            <w:tcW w:w="1705" w:type="dxa"/>
            <w:noWrap w:val="0"/>
            <w:vAlign w:val="center"/>
          </w:tcPr>
          <w:p>
            <w:pPr>
              <w:jc w:val="center"/>
              <w:rPr>
                <w:rFonts w:hint="eastAsia" w:ascii="宋体" w:hAnsi="宋体" w:eastAsia="宋体" w:cs="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112" w:type="dxa"/>
            <w:gridSpan w:val="3"/>
            <w:noWrap w:val="0"/>
            <w:vAlign w:val="center"/>
          </w:tcPr>
          <w:p>
            <w:p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报废气瓶数量合计（只）</w:t>
            </w:r>
          </w:p>
        </w:tc>
        <w:tc>
          <w:tcPr>
            <w:tcW w:w="3410" w:type="dxa"/>
            <w:gridSpan w:val="2"/>
            <w:noWrap w:val="0"/>
            <w:vAlign w:val="center"/>
          </w:tcPr>
          <w:p>
            <w:pPr>
              <w:jc w:val="center"/>
              <w:rPr>
                <w:rFonts w:hint="eastAsia" w:ascii="宋体" w:hAnsi="宋体" w:eastAsia="宋体" w:cs="宋体"/>
                <w:color w:val="auto"/>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val="0"/>
        <w:textAlignment w:val="auto"/>
        <w:rPr>
          <w:rFonts w:hint="default"/>
          <w:color w:val="auto"/>
          <w:sz w:val="24"/>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气瓶报废单位：                                       报废人：</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验收单位：                                           验收人：</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验收单位：                                           验收人：</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验收日期：</w:t>
      </w:r>
    </w:p>
    <w:p>
      <w:pPr>
        <w:pStyle w:val="8"/>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黑体" w:hAnsi="黑体" w:eastAsia="黑体" w:cs="黑体"/>
          <w:b w:val="0"/>
          <w:bCs w:val="0"/>
          <w:color w:val="auto"/>
          <w:sz w:val="32"/>
          <w:szCs w:val="32"/>
          <w:lang w:eastAsia="zh-CN"/>
        </w:rPr>
      </w:pPr>
    </w:p>
    <w:p>
      <w:pPr>
        <w:pStyle w:val="8"/>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黑体" w:hAnsi="黑体" w:eastAsia="黑体" w:cs="黑体"/>
          <w:b w:val="0"/>
          <w:bCs w:val="0"/>
          <w:color w:val="auto"/>
          <w:sz w:val="32"/>
          <w:szCs w:val="32"/>
          <w:lang w:eastAsia="zh-CN"/>
        </w:rPr>
      </w:pPr>
    </w:p>
    <w:p>
      <w:pPr>
        <w:pStyle w:val="8"/>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黑体" w:hAnsi="黑体" w:eastAsia="黑体" w:cs="黑体"/>
          <w:b w:val="0"/>
          <w:bCs w:val="0"/>
          <w:color w:val="auto"/>
          <w:sz w:val="32"/>
          <w:szCs w:val="32"/>
          <w:lang w:val="en-US" w:eastAsia="zh-CN"/>
        </w:rPr>
      </w:pPr>
      <w:bookmarkStart w:id="0" w:name="_GoBack"/>
      <w:bookmarkEnd w:id="0"/>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4</w:t>
      </w:r>
    </w:p>
    <w:p>
      <w:pPr>
        <w:pStyle w:val="8"/>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黑体" w:hAnsi="黑体" w:eastAsia="黑体" w:cs="黑体"/>
          <w:b/>
          <w:bCs/>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rPr>
        <w:t>液化石油气</w:t>
      </w:r>
      <w:r>
        <w:rPr>
          <w:rFonts w:hint="eastAsia" w:ascii="方正小标宋简体" w:hAnsi="方正小标宋简体" w:eastAsia="方正小标宋简体" w:cs="方正小标宋简体"/>
          <w:b w:val="0"/>
          <w:bCs w:val="0"/>
          <w:color w:val="auto"/>
          <w:sz w:val="44"/>
          <w:szCs w:val="44"/>
          <w:lang w:eastAsia="zh-CN"/>
        </w:rPr>
        <w:t>废旧气瓶</w:t>
      </w:r>
      <w:r>
        <w:rPr>
          <w:rFonts w:hint="eastAsia" w:ascii="方正小标宋简体" w:hAnsi="方正小标宋简体" w:eastAsia="方正小标宋简体" w:cs="方正小标宋简体"/>
          <w:b w:val="0"/>
          <w:bCs w:val="0"/>
          <w:color w:val="auto"/>
          <w:sz w:val="44"/>
          <w:szCs w:val="44"/>
        </w:rPr>
        <w:t>置换</w:t>
      </w:r>
      <w:r>
        <w:rPr>
          <w:rFonts w:hint="eastAsia" w:ascii="方正小标宋简体" w:hAnsi="方正小标宋简体" w:eastAsia="方正小标宋简体" w:cs="方正小标宋简体"/>
          <w:b w:val="0"/>
          <w:bCs w:val="0"/>
          <w:color w:val="auto"/>
          <w:sz w:val="44"/>
          <w:szCs w:val="44"/>
          <w:lang w:val="en-US" w:eastAsia="zh-CN"/>
        </w:rPr>
        <w:t>明白纸</w:t>
      </w:r>
    </w:p>
    <w:p>
      <w:pPr>
        <w:pStyle w:val="8"/>
        <w:keepNext w:val="0"/>
        <w:keepLines w:val="0"/>
        <w:pageBreakBefore w:val="0"/>
        <w:widowControl w:val="0"/>
        <w:kinsoku/>
        <w:wordWrap/>
        <w:overflowPunct/>
        <w:topLinePunct w:val="0"/>
        <w:autoSpaceDE/>
        <w:autoSpaceDN/>
        <w:bidi w:val="0"/>
        <w:adjustRightInd/>
        <w:snapToGrid/>
        <w:spacing w:line="560" w:lineRule="exact"/>
        <w:ind w:left="883" w:hanging="643" w:hangingChars="200"/>
        <w:jc w:val="center"/>
        <w:textAlignment w:val="auto"/>
        <w:rPr>
          <w:rFonts w:hint="eastAsia" w:ascii="方正小标宋简体" w:hAnsi="方正小标宋简体" w:eastAsia="方正小标宋简体" w:cs="方正小标宋简体"/>
          <w:b/>
          <w:bCs/>
          <w:color w:val="auto"/>
          <w:sz w:val="32"/>
          <w:szCs w:val="32"/>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1．为什么要开展液化石油气废旧气瓶置换？</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近年来，省内外发生多起液化石油气燃爆事故，造成人民生命、财产安全损失，教训深刻。为切实加强液化石油气安全管理，进一步整顿液化石油气市场，规范液化石油气充装行为，及时消除居民用户安全隐患，确保人民生命财产安全，在济南市范围内开展液化石油气废旧气瓶置换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2．废旧气瓶置换的范围及条件</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废旧气瓶是指超过</w:t>
      </w:r>
      <w:r>
        <w:rPr>
          <w:rFonts w:hint="eastAsia" w:ascii="仿宋_GB2312" w:hAnsi="仿宋" w:eastAsia="仿宋_GB2312"/>
          <w:color w:val="auto"/>
          <w:sz w:val="32"/>
          <w:szCs w:val="32"/>
          <w:lang w:val="en-US" w:eastAsia="zh-CN"/>
        </w:rPr>
        <w:t>8年设计使用年限的气瓶，</w:t>
      </w:r>
      <w:r>
        <w:rPr>
          <w:rFonts w:hint="eastAsia" w:ascii="仿宋_GB2312" w:hAnsi="仿宋" w:eastAsia="仿宋_GB2312"/>
          <w:color w:val="auto"/>
          <w:sz w:val="32"/>
          <w:szCs w:val="32"/>
          <w:lang w:eastAsia="zh-CN"/>
        </w:rPr>
        <w:t>本</w:t>
      </w:r>
      <w:r>
        <w:rPr>
          <w:rFonts w:hint="eastAsia" w:ascii="仿宋_GB2312" w:hAnsi="仿宋" w:eastAsia="仿宋_GB2312"/>
          <w:color w:val="auto"/>
          <w:sz w:val="32"/>
          <w:szCs w:val="32"/>
        </w:rPr>
        <w:t>次废旧气瓶置换主要是为解决</w:t>
      </w:r>
      <w:r>
        <w:rPr>
          <w:rFonts w:hint="eastAsia" w:ascii="仿宋_GB2312" w:hAnsi="仿宋" w:eastAsia="仿宋_GB2312"/>
          <w:color w:val="auto"/>
          <w:sz w:val="32"/>
          <w:szCs w:val="32"/>
          <w:lang w:eastAsia="zh-CN"/>
        </w:rPr>
        <w:t>济南市</w:t>
      </w:r>
      <w:r>
        <w:rPr>
          <w:rFonts w:hint="eastAsia" w:ascii="仿宋_GB2312" w:hAnsi="仿宋" w:eastAsia="仿宋_GB2312"/>
          <w:color w:val="auto"/>
          <w:sz w:val="32"/>
          <w:szCs w:val="32"/>
        </w:rPr>
        <w:t>本地居民的安全用气问题，</w:t>
      </w:r>
      <w:r>
        <w:rPr>
          <w:rFonts w:hint="eastAsia" w:ascii="仿宋_GB2312" w:hAnsi="仿宋" w:eastAsia="仿宋_GB2312"/>
          <w:color w:val="auto"/>
          <w:sz w:val="32"/>
          <w:szCs w:val="32"/>
          <w:lang w:eastAsia="zh-CN"/>
        </w:rPr>
        <w:t>餐饮等经营单位的废旧气瓶不在置换范围。未超过</w:t>
      </w:r>
      <w:r>
        <w:rPr>
          <w:rFonts w:hint="eastAsia" w:ascii="仿宋_GB2312" w:hAnsi="仿宋" w:eastAsia="仿宋_GB2312"/>
          <w:color w:val="auto"/>
          <w:sz w:val="32"/>
          <w:szCs w:val="32"/>
          <w:lang w:val="en-US" w:eastAsia="zh-CN"/>
        </w:rPr>
        <w:t>8年</w:t>
      </w:r>
      <w:r>
        <w:rPr>
          <w:rFonts w:hint="eastAsia" w:ascii="仿宋_GB2312" w:hAnsi="仿宋" w:eastAsia="仿宋_GB2312"/>
          <w:color w:val="auto"/>
          <w:sz w:val="32"/>
          <w:szCs w:val="32"/>
          <w:lang w:eastAsia="zh-CN"/>
        </w:rPr>
        <w:t>设计使用年限的气瓶，居民将气瓶交由充装站进行托管，由充装站负责委托气瓶检验检测机构对气瓶进行检验后办理托管手续，并依法办理使用登记。</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3．废旧气瓶置换流程及补贴标准</w:t>
      </w:r>
    </w:p>
    <w:p>
      <w:pPr>
        <w:pStyle w:val="7"/>
        <w:keepNext w:val="0"/>
        <w:keepLines w:val="0"/>
        <w:pageBreakBefore w:val="0"/>
        <w:widowControl w:val="0"/>
        <w:tabs>
          <w:tab w:val="left" w:pos="2325"/>
        </w:tabs>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居民携带身份证和废旧气瓶送到参与置换工作的充装站，充装站为居民提供合格的自有产权气瓶，对居民身份信息和新旧两个气瓶的信息进行登记。</w:t>
      </w:r>
      <w:r>
        <w:rPr>
          <w:rFonts w:hint="eastAsia" w:ascii="仿宋_GB2312" w:hAnsi="仿宋_GB2312" w:eastAsia="仿宋_GB2312" w:cs="仿宋_GB2312"/>
          <w:color w:val="auto"/>
          <w:sz w:val="32"/>
          <w:szCs w:val="32"/>
          <w:highlight w:val="none"/>
        </w:rPr>
        <w:t>充装站先行垫付</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0元政府置换补贴，</w:t>
      </w:r>
      <w:r>
        <w:rPr>
          <w:rFonts w:hint="eastAsia" w:ascii="仿宋_GB2312" w:hAnsi="仿宋_GB2312" w:eastAsia="仿宋_GB2312" w:cs="仿宋_GB2312"/>
          <w:color w:val="auto"/>
          <w:sz w:val="32"/>
          <w:szCs w:val="32"/>
          <w:highlight w:val="none"/>
          <w:lang w:eastAsia="zh-CN"/>
        </w:rPr>
        <w:t>与气瓶残值（</w:t>
      </w:r>
      <w:r>
        <w:rPr>
          <w:rFonts w:hint="eastAsia" w:ascii="仿宋_GB2312" w:hAnsi="仿宋_GB2312" w:eastAsia="仿宋_GB2312" w:cs="仿宋_GB2312"/>
          <w:color w:val="auto"/>
          <w:sz w:val="32"/>
          <w:szCs w:val="32"/>
          <w:highlight w:val="none"/>
          <w:lang w:val="en-US" w:eastAsia="zh-CN"/>
        </w:rPr>
        <w:t>20元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居民自行缴纳</w:t>
      </w:r>
      <w:r>
        <w:rPr>
          <w:rFonts w:hint="eastAsia" w:ascii="仿宋_GB2312" w:hAnsi="仿宋_GB2312" w:eastAsia="仿宋_GB2312" w:cs="仿宋_GB2312"/>
          <w:color w:val="auto"/>
          <w:sz w:val="32"/>
          <w:szCs w:val="32"/>
          <w:highlight w:val="none"/>
          <w:lang w:eastAsia="zh-CN"/>
        </w:rPr>
        <w:t>的气瓶押金三方资金一并开具押金收据</w:t>
      </w:r>
      <w:r>
        <w:rPr>
          <w:rFonts w:hint="eastAsia" w:ascii="仿宋_GB2312" w:hAnsi="仿宋_GB2312" w:eastAsia="仿宋_GB2312" w:cs="仿宋_GB2312"/>
          <w:color w:val="auto"/>
          <w:sz w:val="32"/>
          <w:szCs w:val="32"/>
          <w:highlight w:val="none"/>
        </w:rPr>
        <w:t>，同时</w:t>
      </w:r>
      <w:r>
        <w:rPr>
          <w:rFonts w:hint="eastAsia" w:ascii="仿宋_GB2312" w:hAnsi="仿宋_GB2312" w:eastAsia="仿宋_GB2312" w:cs="仿宋_GB2312"/>
          <w:color w:val="auto"/>
          <w:sz w:val="32"/>
          <w:szCs w:val="32"/>
          <w:highlight w:val="none"/>
          <w:lang w:eastAsia="zh-CN"/>
        </w:rPr>
        <w:t>与居民</w:t>
      </w:r>
      <w:r>
        <w:rPr>
          <w:rFonts w:hint="eastAsia" w:ascii="仿宋_GB2312" w:hAnsi="仿宋_GB2312" w:eastAsia="仿宋_GB2312" w:cs="仿宋_GB2312"/>
          <w:color w:val="auto"/>
          <w:sz w:val="32"/>
          <w:szCs w:val="32"/>
          <w:highlight w:val="none"/>
        </w:rPr>
        <w:t>签订用气协议。</w:t>
      </w:r>
      <w:r>
        <w:rPr>
          <w:rFonts w:hint="eastAsia" w:ascii="仿宋_GB2312" w:hAnsi="仿宋_GB2312" w:eastAsia="仿宋_GB2312" w:cs="仿宋_GB2312"/>
          <w:color w:val="auto"/>
          <w:sz w:val="32"/>
          <w:szCs w:val="32"/>
          <w:highlight w:val="none"/>
          <w:lang w:eastAsia="zh-CN"/>
        </w:rPr>
        <w:t>居民停止使用液化石油气时需将气瓶退还充装站，并办理押金退还手续</w:t>
      </w:r>
      <w:r>
        <w:rPr>
          <w:rFonts w:hint="eastAsia" w:ascii="仿宋_GB2312" w:hAnsi="仿宋_GB2312" w:eastAsia="仿宋_GB2312" w:cs="仿宋_GB2312"/>
          <w:color w:val="auto"/>
          <w:sz w:val="32"/>
          <w:szCs w:val="32"/>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4．废旧气瓶置换时间</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2023年9月15日至2024年3月14日。有置换需求的居民合理安排时间，在规定的时间范围内参与置换。</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5．参与液化石油气废旧气瓶置换的充装站名单</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居民可以按照就近原则到附近充装站点参与废旧气瓶置换工作，充装站点的详细信息见公示。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18</w:t>
                          </w:r>
                          <w:r>
                            <w:rPr>
                              <w:rFonts w:hint="eastAsia" w:ascii="宋体" w:hAnsi="宋体" w:eastAsia="宋体" w:cs="宋体"/>
                              <w:sz w:val="28"/>
                              <w:szCs w:val="28"/>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18</w:t>
                    </w:r>
                    <w:r>
                      <w:rPr>
                        <w:rFonts w:hint="eastAsia" w:ascii="宋体" w:hAnsi="宋体" w:eastAsia="宋体" w:cs="宋体"/>
                        <w:sz w:val="28"/>
                        <w:szCs w:val="28"/>
                        <w:lang w:val="zh-CN"/>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wordWrap w:val="0"/>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r>
                            <w:rPr>
                              <w:rFonts w:hint="eastAsia" w:ascii="宋体" w:hAnsi="宋体" w:eastAsia="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wordWrap w:val="0"/>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p>
  <w:p>
    <w:pPr>
      <w:pStyle w:val="2"/>
      <w:rPr>
        <w:rFonts w:ascii="宋体" w:hAnsi="宋体" w:eastAsia="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96BA5"/>
    <w:rsid w:val="08896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unhideWhenUsed/>
    <w:qFormat/>
    <w:uiPriority w:val="34"/>
    <w:pPr>
      <w:ind w:firstLine="420" w:firstLineChars="200"/>
      <w:jc w:val="left"/>
    </w:pPr>
    <w:rPr>
      <w:rFonts w:ascii="Times New Roman" w:hAnsi="Times New Roman" w:eastAsia="Times New Roman"/>
      <w:color w:val="000000"/>
      <w:kern w:val="0"/>
      <w:sz w:val="24"/>
      <w:szCs w:val="24"/>
      <w:lang w:eastAsia="en-US" w:bidi="en-US"/>
    </w:rPr>
  </w:style>
  <w:style w:type="paragraph" w:customStyle="1" w:styleId="8">
    <w:name w:val="正文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2023-08-21T05:49:00Z</dcterms:created>
  <dc:creator>王诗怡</dc:creator>
  <cp:lastModifiedBy>王诗怡</cp:lastModifiedBy>
  <dcterms:modified xsi:type="dcterms:W3CDTF">2023-08-21T05:50:30Z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DEDF78551C634CB4962512D6673064AA</vt:lpwstr>
  </property>
</Properties>
</file>