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拟立项济南市地方标准制定计划</w:t>
      </w:r>
    </w:p>
    <w:p/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924"/>
        <w:gridCol w:w="2833"/>
        <w:gridCol w:w="3290"/>
        <w:gridCol w:w="1596"/>
        <w:gridCol w:w="1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6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标准名称</w:t>
            </w:r>
          </w:p>
        </w:tc>
        <w:tc>
          <w:tcPr>
            <w:tcW w:w="29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申请部门</w:t>
            </w:r>
          </w:p>
        </w:tc>
        <w:tc>
          <w:tcPr>
            <w:tcW w:w="29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起草单位</w:t>
            </w:r>
          </w:p>
        </w:tc>
        <w:tc>
          <w:tcPr>
            <w:tcW w:w="184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制定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/修订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</w:t>
            </w:r>
            <w:r>
              <w:rPr>
                <w:rFonts w:ascii="黑体" w:hAnsi="黑体" w:eastAsia="黑体"/>
                <w:sz w:val="28"/>
                <w:szCs w:val="28"/>
              </w:rPr>
              <w:t>时限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公路工程文明施工管理规范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济南市城乡交通运输局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济南市城乡交通运输局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济南市交通运输事业发展中心、济南市交通工程质量与安全中心、济南金诺公路工程监理有限公司</w:t>
            </w:r>
          </w:p>
        </w:tc>
        <w:tc>
          <w:tcPr>
            <w:tcW w:w="18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修订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未成年人志愿服务规范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中共济南市委社会工作部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中共济南市委社会工作部、山东青年政治学院、志愿服务项目孵化基地（山东）</w:t>
            </w:r>
          </w:p>
        </w:tc>
        <w:tc>
          <w:tcPr>
            <w:tcW w:w="18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制定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城市道路挖掘修复技术规范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济南市城乡交通运输局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济南市城乡交通运输局、上海市政工程设计研究总院（集团）有限公司</w:t>
            </w:r>
          </w:p>
        </w:tc>
        <w:tc>
          <w:tcPr>
            <w:tcW w:w="18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制定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城市内涝气象风险预警规范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济南市应急管理局、济南市气象局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济南市应急管理局、济南市气象局</w:t>
            </w:r>
          </w:p>
        </w:tc>
        <w:tc>
          <w:tcPr>
            <w:tcW w:w="18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制定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葡萄炭疽病测报调查技术规范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济南市园林和林业绿化局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山东省林业科学研究院、济南市园林和林业科学研究院、济南市林果技术推广和产业服务中心、济南新绿豪设计有限公司</w:t>
            </w:r>
          </w:p>
        </w:tc>
        <w:tc>
          <w:tcPr>
            <w:tcW w:w="18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制定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国土空间监测技术规范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济南市自然资源和规划局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济南市勘察测绘研究院</w:t>
            </w:r>
          </w:p>
        </w:tc>
        <w:tc>
          <w:tcPr>
            <w:tcW w:w="18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制定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农业社会化服务 果园无人机飞防服务规范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济南市园林和林业绿化局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济南市林果技术推广和产业服务中心、山东瑞达生态技术有限公司、山东省林业保护和发展服务中心、齐鲁工业大学、山东省果树研究所</w:t>
            </w:r>
          </w:p>
        </w:tc>
        <w:tc>
          <w:tcPr>
            <w:tcW w:w="18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制定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园林绿化废弃物集成式堆肥技术规程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济南市园林和林业绿化局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"http://www.baidu.com/link?url=idvpqAfb_xwDAU-s7FGjdWqRhyl4KWcTylK7E8DjMcm" \t "https://www.baidu.com/_blank"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济南市园林和林业科学研究院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12个月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lYTdhYTlhZjFkYzcyZGE2NDEzYmIzYjM4MzdkZDQifQ=="/>
  </w:docVars>
  <w:rsids>
    <w:rsidRoot w:val="003D0909"/>
    <w:rsid w:val="001E6550"/>
    <w:rsid w:val="003D0909"/>
    <w:rsid w:val="00FC7054"/>
    <w:rsid w:val="04AA251F"/>
    <w:rsid w:val="0B6A3284"/>
    <w:rsid w:val="27BA2BB1"/>
    <w:rsid w:val="2FAA3834"/>
    <w:rsid w:val="50B03BA3"/>
    <w:rsid w:val="53435195"/>
    <w:rsid w:val="5F9E448A"/>
    <w:rsid w:val="78F42358"/>
    <w:rsid w:val="7BF3A965"/>
    <w:rsid w:val="AF6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1</Pages>
  <Words>173</Words>
  <Characters>173</Characters>
  <Lines>1</Lines>
  <Paragraphs>1</Paragraphs>
  <TotalTime>0</TotalTime>
  <ScaleCrop>false</ScaleCrop>
  <LinksUpToDate>false</LinksUpToDate>
  <CharactersWithSpaces>173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2023-04-07T00:12:00Z</dcterms:created>
  <dc:creator>WindsysUser</dc:creator>
  <cp:lastModifiedBy>Kelly</cp:lastModifiedBy>
  <dcterms:modified xsi:type="dcterms:W3CDTF">2025-03-11T10:12:29Z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2B857D87DC9C4E92B079AFE6C2828E84_12</vt:lpwstr>
  </property>
</Properties>
</file>