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32"/>
        </w:rPr>
      </w:pPr>
      <w:r>
        <w:rPr>
          <w:rFonts w:hint="eastAsia" w:ascii="黑体" w:hAnsi="黑体" w:eastAsia="黑体" w:cs="黑体"/>
          <w:sz w:val="32"/>
          <w:szCs w:val="32"/>
        </w:rPr>
        <w:t>附件2</w:t>
      </w:r>
    </w:p>
    <w:p>
      <w:pPr>
        <w:pStyle w:val="2"/>
        <w:rPr>
          <w:rFonts w:hint="eastAsia"/>
        </w:rPr>
      </w:pPr>
    </w:p>
    <w:p>
      <w:pPr>
        <w:widowControl/>
        <w:spacing w:line="5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抽检小常识</w:t>
      </w:r>
      <w:r>
        <w:rPr>
          <w:rFonts w:hint="eastAsia" w:ascii="方正小标宋简体" w:hAnsi="宋体" w:eastAsia="方正小标宋简体"/>
          <w:sz w:val="44"/>
          <w:szCs w:val="44"/>
        </w:rPr>
        <w:t>及消费提示</w:t>
      </w:r>
    </w:p>
    <w:p>
      <w:pPr>
        <w:pStyle w:val="2"/>
        <w:spacing w:line="560" w:lineRule="exact"/>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bCs/>
          <w:sz w:val="32"/>
          <w:szCs w:val="32"/>
          <w:lang w:val="en-US" w:eastAsia="zh-CN"/>
        </w:rPr>
        <w:t>一</w:t>
      </w:r>
      <w:r>
        <w:rPr>
          <w:rFonts w:hint="default" w:ascii="Times New Roman" w:hAnsi="Times New Roman" w:eastAsia="黑体" w:cs="Times New Roman"/>
          <w:bCs/>
          <w:sz w:val="32"/>
          <w:szCs w:val="32"/>
          <w:lang w:val="en-US" w:eastAsia="zh-CN"/>
        </w:rPr>
        <w:t>、</w:t>
      </w:r>
      <w:r>
        <w:rPr>
          <w:rFonts w:hint="default" w:ascii="Times New Roman" w:hAnsi="Times New Roman" w:eastAsia="黑体" w:cs="Times New Roman"/>
          <w:color w:val="auto"/>
          <w:sz w:val="32"/>
          <w:szCs w:val="32"/>
          <w:highlight w:val="none"/>
          <w:lang w:val="en-US" w:eastAsia="zh-CN"/>
        </w:rPr>
        <w:t>噻虫嗪</w:t>
      </w:r>
    </w:p>
    <w:p>
      <w:pPr>
        <w:keepNext w:val="0"/>
        <w:keepLines w:val="0"/>
        <w:pageBreakBefore w:val="0"/>
        <w:widowControl/>
        <w:kinsoku/>
        <w:wordWrap/>
        <w:overflowPunct/>
        <w:topLinePunct w:val="0"/>
        <w:autoSpaceDE/>
        <w:autoSpaceDN/>
        <w:bidi w:val="0"/>
        <w:adjustRightInd/>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噻虫嗪是烟碱类杀虫剂，具有胃毒、触杀和内吸作用，对蚜虫等有较好防效。少量的残留不会引起人体急性中毒，但长期食用噻虫嗪超标的食品，对人体健康可能有一定影响。《食品安全国家标准 食品中农药最大残留限量》（GB 2763—2021）中规定，噻虫嗪在</w:t>
      </w:r>
      <w:r>
        <w:rPr>
          <w:rFonts w:hint="eastAsia" w:eastAsia="仿宋_GB2312" w:cs="Times New Roman"/>
          <w:kern w:val="2"/>
          <w:sz w:val="32"/>
          <w:szCs w:val="32"/>
          <w:highlight w:val="none"/>
          <w:lang w:val="en-US" w:eastAsia="zh-CN" w:bidi="ar-SA"/>
        </w:rPr>
        <w:t>葱</w:t>
      </w:r>
      <w:r>
        <w:rPr>
          <w:rFonts w:hint="default" w:ascii="Times New Roman" w:hAnsi="Times New Roman" w:eastAsia="仿宋_GB2312" w:cs="Times New Roman"/>
          <w:kern w:val="2"/>
          <w:sz w:val="32"/>
          <w:szCs w:val="32"/>
          <w:highlight w:val="none"/>
          <w:lang w:val="en-US" w:eastAsia="zh-CN" w:bidi="ar-SA"/>
        </w:rPr>
        <w:t>中的最大残留限量值为0.</w:t>
      </w:r>
      <w:r>
        <w:rPr>
          <w:rFonts w:hint="eastAsia"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mg/kg。</w:t>
      </w:r>
    </w:p>
    <w:p>
      <w:pPr>
        <w:keepNext w:val="0"/>
        <w:keepLines w:val="0"/>
        <w:pageBreakBefore w:val="0"/>
        <w:widowControl w:val="0"/>
        <w:kinsoku/>
        <w:wordWrap/>
        <w:overflowPunct/>
        <w:topLinePunct w:val="0"/>
        <w:autoSpaceDE/>
        <w:autoSpaceDN/>
        <w:bidi w:val="0"/>
        <w:snapToGrid/>
        <w:spacing w:line="560" w:lineRule="exact"/>
        <w:ind w:firstLine="592" w:firstLineChars="200"/>
        <w:textAlignment w:val="auto"/>
        <w:rPr>
          <w:rFonts w:hint="eastAsia" w:eastAsia="黑体"/>
          <w:spacing w:val="-12"/>
          <w:sz w:val="32"/>
          <w:szCs w:val="32"/>
          <w:highlight w:val="none"/>
          <w:lang w:eastAsia="zh-CN"/>
        </w:rPr>
      </w:pPr>
      <w:r>
        <w:rPr>
          <w:rFonts w:hint="eastAsia" w:eastAsia="黑体"/>
          <w:spacing w:val="-12"/>
          <w:sz w:val="32"/>
          <w:szCs w:val="32"/>
          <w:highlight w:val="none"/>
          <w:lang w:val="en-US" w:eastAsia="zh-CN"/>
        </w:rPr>
        <w:t>二</w:t>
      </w:r>
      <w:r>
        <w:rPr>
          <w:rFonts w:hint="eastAsia" w:eastAsia="黑体"/>
          <w:spacing w:val="-12"/>
          <w:sz w:val="32"/>
          <w:szCs w:val="32"/>
          <w:highlight w:val="none"/>
        </w:rPr>
        <w:t>、</w:t>
      </w:r>
      <w:r>
        <w:rPr>
          <w:rFonts w:hint="eastAsia" w:ascii="黑体" w:hAnsi="黑体" w:eastAsia="黑体"/>
          <w:sz w:val="32"/>
          <w:szCs w:val="32"/>
          <w:highlight w:val="none"/>
          <w:lang w:eastAsia="zh-CN"/>
        </w:rPr>
        <w:t>噻虫胺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噻虫胺是新烟碱类中的一种杀虫剂，是一类高效安全、高选择性的新型杀虫剂。食用少量的残留农药，人体自身会降解，不会突然引起急性中毒，但长期食用没有清洗干净带有残留农药的农产品，可能会导致身体免疫力下降，加重肝脏的负担，或者引起恶心等。</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黑体" w:cs="Times New Roman"/>
          <w:spacing w:val="-12"/>
          <w:sz w:val="32"/>
          <w:szCs w:val="32"/>
          <w:highlight w:val="none"/>
          <w:lang w:eastAsia="zh-CN"/>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w:t>
      </w:r>
      <w:r>
        <w:rPr>
          <w:rFonts w:hint="eastAsia" w:ascii="Times New Roman" w:hAnsi="Times New Roman" w:eastAsia="黑体" w:cs="Times New Roman"/>
          <w:spacing w:val="-12"/>
          <w:sz w:val="32"/>
          <w:szCs w:val="32"/>
          <w:highlight w:val="none"/>
          <w:lang w:eastAsia="zh-CN"/>
        </w:rPr>
        <w:t>酒精度</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highlight w:val="none"/>
          <w:lang w:val="en-US"/>
        </w:rPr>
      </w:pPr>
      <w:r>
        <w:rPr>
          <w:rFonts w:hint="eastAsia" w:ascii="Times New Roman" w:hAnsi="Times New Roman" w:eastAsia="仿宋_GB2312" w:cs="Times New Roman"/>
          <w:spacing w:val="0"/>
          <w:sz w:val="32"/>
          <w:szCs w:val="32"/>
          <w:highlight w:val="none"/>
          <w:lang w:eastAsia="zh-CN"/>
        </w:rPr>
        <w:t>酒精度又叫酒度，是指在</w:t>
      </w:r>
      <w:r>
        <w:rPr>
          <w:rFonts w:hint="eastAsia" w:ascii="Times New Roman" w:hAnsi="Times New Roman" w:eastAsia="仿宋_GB2312" w:cs="Times New Roman"/>
          <w:spacing w:val="0"/>
          <w:sz w:val="32"/>
          <w:szCs w:val="32"/>
          <w:highlight w:val="none"/>
          <w:lang w:val="en-US" w:eastAsia="zh-CN"/>
        </w:rPr>
        <w:t>20℃时，100毫升酒中含有乙醇（酒精）的毫升数，即体积（容量）的百分数。酒精度是酒类产品的一个重要理化指标，含量不达标主要影响产品的品质。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lang w:val="en-US" w:eastAsia="zh-CN"/>
        </w:rPr>
      </w:pPr>
      <w:r>
        <w:rPr>
          <w:rFonts w:hint="eastAsia" w:ascii="Times New Roman" w:hAnsi="Times New Roman" w:eastAsia="黑体" w:cs="Times New Roman"/>
          <w:bCs/>
          <w:sz w:val="32"/>
          <w:szCs w:val="32"/>
          <w:highlight w:val="none"/>
          <w:lang w:val="en-US" w:eastAsia="zh-CN"/>
        </w:rPr>
        <w:t>四</w:t>
      </w:r>
      <w:r>
        <w:rPr>
          <w:rFonts w:hint="default" w:ascii="Times New Roman" w:hAnsi="Times New Roman" w:eastAsia="黑体" w:cs="Times New Roman"/>
          <w:bCs/>
          <w:sz w:val="32"/>
          <w:szCs w:val="32"/>
          <w:highlight w:val="none"/>
          <w:lang w:val="en-US" w:eastAsia="zh-CN"/>
        </w:rPr>
        <w:t>、</w:t>
      </w:r>
      <w:r>
        <w:rPr>
          <w:rFonts w:hint="eastAsia" w:ascii="Times New Roman" w:hAnsi="Times New Roman" w:eastAsia="黑体" w:cs="Times New Roman"/>
          <w:bCs/>
          <w:sz w:val="32"/>
          <w:szCs w:val="32"/>
          <w:highlight w:val="none"/>
          <w:lang w:val="en-US" w:eastAsia="zh-CN"/>
        </w:rPr>
        <w:t>孔雀石绿</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Calibri"/>
          <w:kern w:val="2"/>
          <w:sz w:val="32"/>
          <w:szCs w:val="32"/>
          <w:highlight w:val="none"/>
          <w:lang w:val="en-US" w:eastAsia="zh-CN" w:bidi="ar-SA"/>
        </w:rPr>
      </w:pPr>
      <w:r>
        <w:rPr>
          <w:rFonts w:hint="eastAsia" w:ascii="Times New Roman" w:hAnsi="Times New Roman" w:eastAsia="仿宋_GB2312" w:cs="Calibri"/>
          <w:kern w:val="2"/>
          <w:sz w:val="32"/>
          <w:szCs w:val="32"/>
          <w:highlight w:val="none"/>
          <w:lang w:val="en-US" w:eastAsia="zh-CN" w:bidi="ar-SA"/>
        </w:rPr>
        <w:t>孔雀石绿是一种工业染料，因具有杀菌和抗寄生虫作用，曾用于水产养殖。孔雀石绿在动物体内代谢为隐色孔雀石绿，长时间残留于生物体内。长期食用检出孔雀石绿的食品，对人体健康可能有一定影响。《食品动物中禁止使用的药品及其他化合物清单》（农业农村部公告 第250号）中规定，孔雀石绿为食品动物中禁止使用的药品（在动物性食品中不得检出）。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lang w:val="en-US" w:eastAsia="zh-CN"/>
        </w:rPr>
      </w:pPr>
      <w:r>
        <w:rPr>
          <w:rFonts w:hint="eastAsia" w:ascii="Times New Roman" w:hAnsi="Times New Roman" w:eastAsia="黑体" w:cs="Times New Roman"/>
          <w:bCs/>
          <w:sz w:val="32"/>
          <w:szCs w:val="32"/>
          <w:highlight w:val="none"/>
          <w:lang w:val="en-US" w:eastAsia="zh-CN"/>
        </w:rPr>
        <w:t>五</w:t>
      </w:r>
      <w:r>
        <w:rPr>
          <w:rFonts w:hint="default" w:ascii="Times New Roman" w:hAnsi="Times New Roman" w:eastAsia="黑体" w:cs="Times New Roman"/>
          <w:bCs/>
          <w:sz w:val="32"/>
          <w:szCs w:val="32"/>
          <w:highlight w:val="none"/>
          <w:lang w:val="en-US" w:eastAsia="zh-CN"/>
        </w:rPr>
        <w:t>、</w:t>
      </w:r>
      <w:r>
        <w:rPr>
          <w:rFonts w:hint="eastAsia" w:ascii="Times New Roman" w:hAnsi="Times New Roman" w:eastAsia="黑体" w:cs="Times New Roman"/>
          <w:bCs/>
          <w:sz w:val="32"/>
          <w:szCs w:val="32"/>
          <w:highlight w:val="none"/>
          <w:lang w:val="en-US" w:eastAsia="zh-CN"/>
        </w:rPr>
        <w:t>土霉素/金霉素/四环素(组合含量)</w:t>
      </w:r>
    </w:p>
    <w:p>
      <w:pPr>
        <w:pStyle w:val="5"/>
        <w:keepNext w:val="0"/>
        <w:keepLines w:val="0"/>
        <w:pageBreakBefore w:val="0"/>
        <w:widowControl w:val="0"/>
        <w:kinsoku/>
        <w:wordWrap/>
        <w:overflowPunct/>
        <w:topLinePunct w:val="0"/>
        <w:autoSpaceDE/>
        <w:autoSpaceDN/>
        <w:bidi w:val="0"/>
        <w:snapToGrid/>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土霉素为四环素类抗生素。长期过量摄入土霉素残留不合格的食品，可能导致胃肠道反应、体内菌群失调、肝脏损伤、四环素牙、过敏反应，还可能使人体产生耐药性菌株。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金霉素是由金色链霉菌发酵产生的四环素类抗菌药。具有抗菌谱广、配伍禁忌少、安全高效、成本低等优点。动物产品的金霉素残留，一般不会导致对人体的急性毒性作用；长期大量摄入金霉素残留超标的食品，可能在人体内蓄积，产生耐药并对同类药物有交叉耐药，引起再生障碍性贫血和粒状白细胞缺乏等症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四环素是具有菲烷母核的抗菌药物。动物产品的四环素残留，一般不会导致对人体的急性毒性作用；长期过量摄入四环素残留超标的食品，可能在人体内蓄积，产生耐药并对同类药物有交叉耐药，引起恶心、呕吐，食欲减退等症状，并影响骨骼和牙生长等。</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lang w:val="en-US" w:eastAsia="zh-CN"/>
        </w:rPr>
        <w:t>、</w:t>
      </w:r>
      <w:r>
        <w:rPr>
          <w:rFonts w:hint="eastAsia" w:ascii="Times New Roman" w:hAnsi="Times New Roman" w:eastAsia="黑体" w:cs="Times New Roman"/>
          <w:sz w:val="32"/>
          <w:szCs w:val="32"/>
          <w:highlight w:val="none"/>
          <w:lang w:val="en-US" w:eastAsia="zh-CN"/>
        </w:rPr>
        <w:t>甲硝唑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甲硝唑是硝基咪唑类抗菌药，对甲硝唑敏感的菌种有拟杆菌属、梭状芽孢杆菌属、产气荚膜梭菌、消化球菌属等。《食品安全国家标准 食品中兽药最大残留限量》（GB 31650—2019）中规定甲硝唑允许作治疗用，但不得在动物性食品中检出。造成鸡蛋中检出甲硝唑的原因可能是养殖户在养殖过程中违规使用相关兽药导致。</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七</w:t>
      </w:r>
      <w:r>
        <w:rPr>
          <w:rFonts w:hint="default" w:ascii="Times New Roman" w:hAnsi="Times New Roman" w:eastAsia="黑体" w:cs="Times New Roman"/>
          <w:bCs/>
          <w:sz w:val="32"/>
          <w:szCs w:val="32"/>
          <w:lang w:val="en-US" w:eastAsia="zh-CN"/>
        </w:rPr>
        <w:t>、大肠菌群</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大肠菌群是国内外通用的食品污染常用指示菌之一。</w:t>
      </w:r>
      <w:r>
        <w:rPr>
          <w:rFonts w:hint="default" w:ascii="Times New Roman" w:hAnsi="Times New Roman" w:eastAsia="仿宋_GB2312" w:cs="Times New Roman"/>
          <w:sz w:val="32"/>
          <w:szCs w:val="32"/>
          <w:highlight w:val="none"/>
        </w:rPr>
        <w:t>餐（饮）具</w:t>
      </w:r>
      <w:r>
        <w:rPr>
          <w:rFonts w:hint="default" w:ascii="Times New Roman" w:hAnsi="Times New Roman" w:eastAsia="仿宋_GB2312" w:cs="Times New Roman"/>
          <w:kern w:val="2"/>
          <w:sz w:val="32"/>
          <w:szCs w:val="32"/>
          <w:highlight w:val="none"/>
          <w:lang w:val="en-US" w:eastAsia="zh-CN" w:bidi="ar-SA"/>
        </w:rPr>
        <w:t>中检出大肠菌群提示被致病菌（如沙门氏菌、志贺氏菌、致病性大肠杆菌）污染的可能性较大。</w:t>
      </w:r>
      <w:r>
        <w:rPr>
          <w:rFonts w:hint="default" w:ascii="Times New Roman" w:hAnsi="Times New Roman" w:eastAsia="仿宋_GB2312" w:cs="Times New Roman"/>
          <w:sz w:val="32"/>
          <w:szCs w:val="32"/>
          <w:highlight w:val="none"/>
        </w:rPr>
        <w:t>《食品安全国家标准 消毒餐（饮）具》（GB 14934—2016）中规定，餐（饮）具中不得检出大肠菌群。</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八</w:t>
      </w:r>
      <w:r>
        <w:rPr>
          <w:rFonts w:hint="default" w:ascii="Times New Roman" w:hAnsi="Times New Roman" w:eastAsia="黑体" w:cs="Times New Roman"/>
          <w:bCs/>
          <w:sz w:val="32"/>
          <w:szCs w:val="32"/>
          <w:lang w:val="en-US" w:eastAsia="zh-CN"/>
        </w:rPr>
        <w:t>、阴离子合成洗涤剂（以十二烷基苯磺酸钠计）</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阴离子合成洗涤剂，是我们日常生活中经常用到的洗衣粉、洗洁精、洗衣液、肥皂等洗涤剂的主要成分。其主要成分十二烷基苯磺酸钠是一种低毒物质，在消毒企业中广泛使用，但是如果餐（饮）具清洗消毒流程控制不当，会造成洗涤剂在餐（饮）具上的残留，对人体健康产生不良影响。《食品安全国家标准 消毒餐（饮）具》（GB 14934-2016）规定，采用化学消毒法的餐（饮）具的阴离子合成洗涤剂应不得检出</w:t>
      </w:r>
      <w:r>
        <w:rPr>
          <w:rFonts w:hint="default" w:ascii="Times New Roman" w:hAnsi="Times New Roman" w:eastAsia="仿宋_GB2312" w:cs="Times New Roman"/>
          <w:sz w:val="32"/>
          <w:szCs w:val="32"/>
          <w:highlight w:val="none"/>
        </w:rPr>
        <w:t>。</w:t>
      </w: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47185"/>
    <w:rsid w:val="277C1B15"/>
    <w:rsid w:val="43A853D7"/>
    <w:rsid w:val="457071AB"/>
    <w:rsid w:val="58F00EB2"/>
    <w:rsid w:val="630B74E3"/>
    <w:rsid w:val="6374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jc w:val="both"/>
    </w:pPr>
    <w:rPr>
      <w:rFonts w:ascii="Calibri" w:hAnsi="Calibri" w:eastAsia="宋体" w:cs="Calibri"/>
      <w:kern w:val="2"/>
      <w:sz w:val="21"/>
      <w:szCs w:val="21"/>
      <w:lang w:val="en-US" w:eastAsia="zh-CN" w:bidi="ar-SA"/>
    </w:rPr>
  </w:style>
  <w:style w:type="paragraph" w:styleId="3">
    <w:name w:val="Body Text Indent"/>
    <w:basedOn w:val="1"/>
    <w:qFormat/>
    <w:uiPriority w:val="0"/>
    <w:pPr>
      <w:spacing w:after="120"/>
      <w:ind w:left="420" w:leftChars="200"/>
    </w:pPr>
  </w:style>
  <w:style w:type="paragraph" w:styleId="4">
    <w:name w:val="Normal (Web)"/>
    <w:basedOn w:val="1"/>
    <w:unhideWhenUsed/>
    <w:uiPriority w:val="99"/>
    <w:pPr>
      <w:spacing w:before="100" w:beforeAutospacing="1" w:after="100" w:afterAutospacing="1"/>
      <w:ind w:left="0" w:right="0"/>
      <w:jc w:val="left"/>
    </w:pPr>
    <w:rPr>
      <w:kern w:val="0"/>
      <w:sz w:val="24"/>
      <w:lang w:val="en-US" w:eastAsia="zh-CN" w:bidi="ar"/>
    </w:rPr>
  </w:style>
  <w:style w:type="paragraph" w:styleId="5">
    <w:name w:val="Body Text First Indent 2"/>
    <w:basedOn w:val="3"/>
    <w:next w:val="1"/>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山东省工商局</Company>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2023-11-07T07:03:00Z</dcterms:created>
  <dc:creator>lenovo</dc:creator>
  <cp:lastModifiedBy>_微妙的下集</cp:lastModifiedBy>
  <dcterms:modified xsi:type="dcterms:W3CDTF">2023-12-20T03:05:26Z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802B345DD3654C1B9B8E220A3E97D36D</vt:lpwstr>
  </property>
</Properties>
</file>