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"/>
        <w:rPr>
          <w:rFonts w:ascii="Times New Roman"/>
          <w:sz w:val="29"/>
        </w:rPr>
      </w:pPr>
    </w:p>
    <w:p>
      <w:pPr>
        <w:spacing w:before="55"/>
        <w:ind w:left="113" w:right="0" w:firstLine="0"/>
        <w:jc w:val="left"/>
        <w:rPr>
          <w:rFonts w:hint="eastAsia" w:ascii="黑体" w:eastAsia="黑体"/>
          <w:sz w:val="32"/>
        </w:rPr>
      </w:pPr>
      <w:bookmarkStart w:id="0" w:name="附件"/>
      <w:bookmarkEnd w:id="0"/>
      <w:r>
        <w:rPr>
          <w:rFonts w:hint="eastAsia" w:ascii="黑体" w:eastAsia="黑体"/>
          <w:sz w:val="32"/>
        </w:rPr>
        <w:t>附件</w: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spacing w:before="174" w:line="468" w:lineRule="auto"/>
        <w:ind w:left="3706" w:right="3021" w:hanging="663"/>
        <w:jc w:val="left"/>
        <w:rPr>
          <w:rFonts w:hint="eastAsia" w:ascii="PMingLiU" w:eastAsia="PMingLiU"/>
          <w:sz w:val="44"/>
        </w:rPr>
      </w:pPr>
      <w:r>
        <w:rPr>
          <w:rFonts w:hint="eastAsia" w:ascii="PMingLiU" w:eastAsia="PMingLiU"/>
          <w:sz w:val="44"/>
        </w:rPr>
        <w:t>国家标准验证点申报方案</w:t>
      </w: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spacing w:before="3"/>
        <w:rPr>
          <w:rFonts w:ascii="PMingLiU"/>
          <w:sz w:val="26"/>
        </w:rPr>
      </w:pPr>
    </w:p>
    <w:tbl>
      <w:tblPr>
        <w:tblStyle w:val="4"/>
        <w:tblW w:w="0" w:type="auto"/>
        <w:tblInd w:w="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809"/>
        <w:gridCol w:w="727"/>
        <w:gridCol w:w="6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613" w:type="dxa"/>
          </w:tcPr>
          <w:p>
            <w:pPr>
              <w:pStyle w:val="8"/>
              <w:spacing w:line="404" w:lineRule="exact"/>
              <w:ind w:left="50"/>
              <w:rPr>
                <w:rFonts w:hint="eastAsia" w:ascii="PMingLiU" w:eastAsia="PMingLiU"/>
                <w:sz w:val="32"/>
              </w:rPr>
            </w:pPr>
            <w:r>
              <w:rPr>
                <w:rFonts w:hint="eastAsia" w:ascii="PMingLiU" w:eastAsia="PMingLiU"/>
                <w:w w:val="99"/>
                <w:sz w:val="32"/>
              </w:rPr>
              <w:t>申</w:t>
            </w:r>
          </w:p>
          <w:p>
            <w:pPr>
              <w:pStyle w:val="8"/>
              <w:spacing w:before="152"/>
              <w:ind w:left="50"/>
              <w:rPr>
                <w:rFonts w:hint="eastAsia" w:ascii="PMingLiU" w:eastAsia="PMingLiU"/>
                <w:sz w:val="32"/>
              </w:rPr>
            </w:pPr>
            <w:r>
              <w:rPr>
                <w:rFonts w:hint="eastAsia" w:ascii="PMingLiU" w:eastAsia="PMingLiU"/>
                <w:w w:val="99"/>
                <w:sz w:val="32"/>
              </w:rPr>
              <w:t>申</w:t>
            </w:r>
          </w:p>
        </w:tc>
        <w:tc>
          <w:tcPr>
            <w:tcW w:w="809" w:type="dxa"/>
          </w:tcPr>
          <w:p>
            <w:pPr>
              <w:pStyle w:val="8"/>
              <w:spacing w:line="404" w:lineRule="exact"/>
              <w:ind w:left="243"/>
              <w:rPr>
                <w:rFonts w:hint="eastAsia" w:ascii="PMingLiU" w:eastAsia="PMingLiU"/>
                <w:sz w:val="32"/>
              </w:rPr>
            </w:pPr>
            <w:r>
              <w:rPr>
                <w:rFonts w:hint="eastAsia" w:ascii="PMingLiU" w:eastAsia="PMingLiU"/>
                <w:w w:val="99"/>
                <w:sz w:val="32"/>
              </w:rPr>
              <w:t>报</w:t>
            </w:r>
          </w:p>
          <w:p>
            <w:pPr>
              <w:pStyle w:val="8"/>
              <w:spacing w:before="152"/>
              <w:ind w:left="245"/>
              <w:rPr>
                <w:rFonts w:hint="eastAsia" w:ascii="PMingLiU" w:eastAsia="PMingLiU"/>
                <w:sz w:val="32"/>
              </w:rPr>
            </w:pPr>
            <w:r>
              <w:rPr>
                <w:rFonts w:hint="eastAsia" w:ascii="PMingLiU" w:eastAsia="PMingLiU"/>
                <w:w w:val="99"/>
                <w:sz w:val="32"/>
              </w:rPr>
              <w:t>报</w:t>
            </w:r>
          </w:p>
        </w:tc>
        <w:tc>
          <w:tcPr>
            <w:tcW w:w="727" w:type="dxa"/>
          </w:tcPr>
          <w:p>
            <w:pPr>
              <w:pStyle w:val="8"/>
              <w:spacing w:line="404" w:lineRule="exact"/>
              <w:ind w:left="243"/>
              <w:rPr>
                <w:rFonts w:hint="eastAsia" w:ascii="PMingLiU" w:eastAsia="PMingLiU"/>
                <w:sz w:val="32"/>
              </w:rPr>
            </w:pPr>
            <w:r>
              <w:rPr>
                <w:rFonts w:hint="eastAsia" w:ascii="PMingLiU" w:eastAsia="PMingLiU"/>
                <w:w w:val="99"/>
                <w:sz w:val="32"/>
              </w:rPr>
              <w:t>领</w:t>
            </w:r>
          </w:p>
          <w:p>
            <w:pPr>
              <w:pStyle w:val="8"/>
              <w:spacing w:before="152"/>
              <w:ind w:left="245"/>
              <w:rPr>
                <w:rFonts w:hint="eastAsia" w:ascii="PMingLiU" w:eastAsia="PMingLiU"/>
                <w:sz w:val="32"/>
              </w:rPr>
            </w:pPr>
            <w:r>
              <w:rPr>
                <w:rFonts w:hint="eastAsia" w:ascii="PMingLiU" w:eastAsia="PMingLiU"/>
                <w:w w:val="99"/>
                <w:sz w:val="32"/>
              </w:rPr>
              <w:t>单</w:t>
            </w:r>
          </w:p>
        </w:tc>
        <w:tc>
          <w:tcPr>
            <w:tcW w:w="6277" w:type="dxa"/>
          </w:tcPr>
          <w:p>
            <w:pPr>
              <w:pStyle w:val="8"/>
              <w:tabs>
                <w:tab w:val="left" w:pos="6226"/>
              </w:tabs>
              <w:spacing w:line="404" w:lineRule="exact"/>
              <w:ind w:left="161"/>
              <w:rPr>
                <w:rFonts w:ascii="Times New Roman" w:eastAsia="Times New Roman"/>
                <w:sz w:val="28"/>
              </w:rPr>
            </w:pPr>
            <w:r>
              <w:rPr>
                <w:rFonts w:hint="eastAsia" w:ascii="PMingLiU" w:eastAsia="PMingLiU"/>
                <w:spacing w:val="5"/>
                <w:sz w:val="32"/>
              </w:rPr>
              <w:t>域</w:t>
            </w:r>
            <w:r>
              <w:rPr>
                <w:rFonts w:hint="eastAsia" w:ascii="PMingLiU" w:eastAsia="PMingLiU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</w:p>
          <w:p>
            <w:pPr>
              <w:pStyle w:val="8"/>
              <w:tabs>
                <w:tab w:val="left" w:pos="4918"/>
              </w:tabs>
              <w:spacing w:before="152"/>
              <w:ind w:left="164"/>
              <w:rPr>
                <w:rFonts w:hint="eastAsia" w:ascii="PMingLiU" w:eastAsia="PMingLiU"/>
                <w:sz w:val="28"/>
              </w:rPr>
            </w:pPr>
            <w:r>
              <w:rPr>
                <w:rFonts w:hint="eastAsia" w:ascii="PMingLiU" w:eastAsia="PMingLiU"/>
                <w:spacing w:val="5"/>
                <w:sz w:val="32"/>
              </w:rPr>
              <w:t>位</w:t>
            </w:r>
            <w:r>
              <w:rPr>
                <w:rFonts w:hint="eastAsia" w:ascii="PMingLiU" w:eastAsia="PMingLiU"/>
                <w:sz w:val="32"/>
              </w:rPr>
              <w:t>：</w:t>
            </w:r>
            <w:r>
              <w:rPr>
                <w:rFonts w:hint="eastAsia" w:ascii="PMingLiU" w:eastAsia="PMingLiU"/>
                <w:sz w:val="32"/>
                <w:u w:val="single"/>
              </w:rPr>
              <w:t xml:space="preserve"> </w:t>
            </w:r>
            <w:r>
              <w:rPr>
                <w:rFonts w:hint="eastAsia" w:ascii="PMingLiU" w:eastAsia="PMingLiU"/>
                <w:sz w:val="32"/>
                <w:u w:val="single"/>
              </w:rPr>
              <w:tab/>
            </w:r>
            <w:r>
              <w:rPr>
                <w:rFonts w:hint="eastAsia" w:ascii="PMingLiU" w:eastAsia="PMingLiU"/>
                <w:spacing w:val="-39"/>
                <w:sz w:val="28"/>
                <w:u w:val="single"/>
              </w:rPr>
              <w:t>（</w:t>
            </w:r>
            <w:r>
              <w:rPr>
                <w:rFonts w:hint="eastAsia" w:ascii="PMingLiU" w:eastAsia="PMingLiU"/>
                <w:spacing w:val="5"/>
                <w:sz w:val="32"/>
                <w:u w:val="single"/>
              </w:rPr>
              <w:t>盖</w:t>
            </w:r>
            <w:r>
              <w:rPr>
                <w:rFonts w:hint="eastAsia" w:ascii="PMingLiU" w:eastAsia="PMingLiU"/>
                <w:sz w:val="32"/>
                <w:u w:val="single"/>
              </w:rPr>
              <w:t>章</w:t>
            </w:r>
            <w:r>
              <w:rPr>
                <w:rFonts w:hint="eastAsia" w:ascii="PMingLiU" w:eastAsia="PMingLiU"/>
                <w:sz w:val="28"/>
                <w:u w:val="single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613" w:type="dxa"/>
          </w:tcPr>
          <w:p>
            <w:pPr>
              <w:pStyle w:val="8"/>
              <w:spacing w:before="69"/>
              <w:ind w:left="50"/>
              <w:rPr>
                <w:rFonts w:hint="eastAsia" w:ascii="PMingLiU" w:eastAsia="PMingLiU"/>
                <w:sz w:val="32"/>
              </w:rPr>
            </w:pPr>
            <w:r>
              <w:rPr>
                <w:rFonts w:hint="eastAsia" w:ascii="PMingLiU" w:eastAsia="PMingLiU"/>
                <w:w w:val="99"/>
                <w:sz w:val="32"/>
              </w:rPr>
              <w:t>组</w:t>
            </w:r>
          </w:p>
        </w:tc>
        <w:tc>
          <w:tcPr>
            <w:tcW w:w="809" w:type="dxa"/>
          </w:tcPr>
          <w:p>
            <w:pPr>
              <w:pStyle w:val="8"/>
              <w:spacing w:before="69"/>
              <w:ind w:left="1"/>
              <w:jc w:val="center"/>
              <w:rPr>
                <w:rFonts w:hint="eastAsia" w:ascii="PMingLiU" w:eastAsia="PMingLiU"/>
                <w:sz w:val="32"/>
              </w:rPr>
            </w:pPr>
            <w:r>
              <w:rPr>
                <w:rFonts w:hint="eastAsia" w:ascii="PMingLiU" w:eastAsia="PMingLiU"/>
                <w:w w:val="99"/>
                <w:sz w:val="32"/>
              </w:rPr>
              <w:t>织</w:t>
            </w:r>
          </w:p>
        </w:tc>
        <w:tc>
          <w:tcPr>
            <w:tcW w:w="727" w:type="dxa"/>
          </w:tcPr>
          <w:p>
            <w:pPr>
              <w:pStyle w:val="8"/>
              <w:spacing w:before="69"/>
              <w:ind w:right="160"/>
              <w:jc w:val="right"/>
              <w:rPr>
                <w:rFonts w:hint="eastAsia" w:ascii="PMingLiU" w:eastAsia="PMingLiU"/>
                <w:sz w:val="32"/>
              </w:rPr>
            </w:pPr>
            <w:r>
              <w:rPr>
                <w:rFonts w:hint="eastAsia" w:ascii="PMingLiU" w:eastAsia="PMingLiU"/>
                <w:w w:val="99"/>
                <w:sz w:val="32"/>
              </w:rPr>
              <w:t>单</w:t>
            </w:r>
          </w:p>
        </w:tc>
        <w:tc>
          <w:tcPr>
            <w:tcW w:w="6277" w:type="dxa"/>
          </w:tcPr>
          <w:p>
            <w:pPr>
              <w:pStyle w:val="8"/>
              <w:tabs>
                <w:tab w:val="left" w:pos="4713"/>
              </w:tabs>
              <w:spacing w:before="69"/>
              <w:ind w:right="23"/>
              <w:jc w:val="center"/>
              <w:rPr>
                <w:rFonts w:hint="eastAsia" w:ascii="PMingLiU" w:eastAsia="PMingLiU"/>
                <w:sz w:val="28"/>
              </w:rPr>
            </w:pPr>
            <w:r>
              <w:rPr>
                <w:rFonts w:hint="eastAsia" w:ascii="PMingLiU" w:eastAsia="PMingLiU"/>
                <w:spacing w:val="5"/>
                <w:sz w:val="32"/>
              </w:rPr>
              <w:t>位</w:t>
            </w:r>
            <w:r>
              <w:rPr>
                <w:rFonts w:hint="eastAsia" w:ascii="PMingLiU" w:eastAsia="PMingLiU"/>
                <w:sz w:val="28"/>
              </w:rPr>
              <w:t>：</w:t>
            </w:r>
            <w:r>
              <w:rPr>
                <w:rFonts w:hint="eastAsia" w:ascii="PMingLiU" w:eastAsia="PMingLiU"/>
                <w:sz w:val="28"/>
                <w:u w:val="single"/>
              </w:rPr>
              <w:t xml:space="preserve"> </w:t>
            </w:r>
            <w:r>
              <w:rPr>
                <w:rFonts w:hint="eastAsia" w:ascii="PMingLiU" w:eastAsia="PMingLiU"/>
                <w:sz w:val="28"/>
                <w:u w:val="single"/>
              </w:rPr>
              <w:tab/>
            </w:r>
            <w:r>
              <w:rPr>
                <w:rFonts w:hint="eastAsia" w:ascii="PMingLiU" w:eastAsia="PMingLiU"/>
                <w:sz w:val="28"/>
                <w:u w:val="single"/>
              </w:rPr>
              <w:t>（</w:t>
            </w:r>
            <w:r>
              <w:rPr>
                <w:rFonts w:hint="eastAsia" w:ascii="PMingLiU" w:eastAsia="PMingLiU"/>
                <w:spacing w:val="5"/>
                <w:sz w:val="32"/>
                <w:u w:val="single"/>
              </w:rPr>
              <w:t>盖</w:t>
            </w:r>
            <w:r>
              <w:rPr>
                <w:rFonts w:hint="eastAsia" w:ascii="PMingLiU" w:eastAsia="PMingLiU"/>
                <w:sz w:val="32"/>
                <w:u w:val="single"/>
              </w:rPr>
              <w:t>章</w:t>
            </w:r>
            <w:r>
              <w:rPr>
                <w:rFonts w:hint="eastAsia" w:ascii="PMingLiU" w:eastAsia="PMingLiU"/>
                <w:sz w:val="28"/>
                <w:u w:val="single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13" w:type="dxa"/>
          </w:tcPr>
          <w:p>
            <w:pPr>
              <w:pStyle w:val="8"/>
              <w:spacing w:before="73" w:line="397" w:lineRule="exact"/>
              <w:ind w:left="50"/>
              <w:rPr>
                <w:rFonts w:hint="eastAsia" w:ascii="PMingLiU" w:eastAsia="PMingLiU"/>
                <w:sz w:val="32"/>
              </w:rPr>
            </w:pPr>
            <w:r>
              <w:rPr>
                <w:rFonts w:hint="eastAsia" w:ascii="PMingLiU" w:eastAsia="PMingLiU"/>
                <w:w w:val="99"/>
                <w:sz w:val="32"/>
              </w:rPr>
              <w:t>申</w:t>
            </w:r>
          </w:p>
        </w:tc>
        <w:tc>
          <w:tcPr>
            <w:tcW w:w="809" w:type="dxa"/>
          </w:tcPr>
          <w:p>
            <w:pPr>
              <w:pStyle w:val="8"/>
              <w:spacing w:before="73" w:line="397" w:lineRule="exact"/>
              <w:ind w:left="1"/>
              <w:jc w:val="center"/>
              <w:rPr>
                <w:rFonts w:hint="eastAsia" w:ascii="PMingLiU" w:eastAsia="PMingLiU"/>
                <w:sz w:val="32"/>
              </w:rPr>
            </w:pPr>
            <w:r>
              <w:rPr>
                <w:rFonts w:hint="eastAsia" w:ascii="PMingLiU" w:eastAsia="PMingLiU"/>
                <w:w w:val="99"/>
                <w:sz w:val="32"/>
              </w:rPr>
              <w:t>报</w:t>
            </w:r>
          </w:p>
        </w:tc>
        <w:tc>
          <w:tcPr>
            <w:tcW w:w="727" w:type="dxa"/>
          </w:tcPr>
          <w:p>
            <w:pPr>
              <w:pStyle w:val="8"/>
              <w:spacing w:before="73" w:line="397" w:lineRule="exact"/>
              <w:ind w:right="160"/>
              <w:jc w:val="right"/>
              <w:rPr>
                <w:rFonts w:hint="eastAsia" w:ascii="PMingLiU" w:eastAsia="PMingLiU"/>
                <w:sz w:val="32"/>
              </w:rPr>
            </w:pPr>
            <w:r>
              <w:rPr>
                <w:rFonts w:hint="eastAsia" w:ascii="PMingLiU" w:eastAsia="PMingLiU"/>
                <w:w w:val="99"/>
                <w:sz w:val="32"/>
              </w:rPr>
              <w:t>日</w:t>
            </w:r>
          </w:p>
        </w:tc>
        <w:tc>
          <w:tcPr>
            <w:tcW w:w="6277" w:type="dxa"/>
          </w:tcPr>
          <w:p>
            <w:pPr>
              <w:pStyle w:val="8"/>
              <w:tabs>
                <w:tab w:val="left" w:pos="2042"/>
                <w:tab w:val="left" w:pos="3638"/>
                <w:tab w:val="left" w:pos="4954"/>
                <w:tab w:val="left" w:pos="5988"/>
              </w:tabs>
              <w:spacing w:before="73" w:line="397" w:lineRule="exact"/>
              <w:ind w:left="19"/>
              <w:jc w:val="center"/>
              <w:rPr>
                <w:rFonts w:hint="eastAsia" w:ascii="PMingLiU" w:eastAsia="PMingLiU"/>
                <w:sz w:val="32"/>
              </w:rPr>
            </w:pPr>
            <w:r>
              <w:rPr>
                <w:rFonts w:hint="eastAsia" w:ascii="PMingLiU" w:eastAsia="PMingLiU"/>
                <w:spacing w:val="5"/>
                <w:sz w:val="32"/>
              </w:rPr>
              <w:t>期</w:t>
            </w:r>
            <w:r>
              <w:rPr>
                <w:rFonts w:hint="eastAsia" w:ascii="PMingLiU" w:eastAsia="PMingLiU"/>
                <w:sz w:val="28"/>
              </w:rPr>
              <w:t>：</w:t>
            </w:r>
            <w:r>
              <w:rPr>
                <w:rFonts w:hint="eastAsia" w:ascii="PMingLiU" w:eastAsia="PMingLiU"/>
                <w:sz w:val="28"/>
                <w:u w:val="single"/>
              </w:rPr>
              <w:t xml:space="preserve"> </w:t>
            </w:r>
            <w:r>
              <w:rPr>
                <w:rFonts w:hint="eastAsia" w:ascii="PMingLiU" w:eastAsia="PMingLiU"/>
                <w:sz w:val="28"/>
                <w:u w:val="single"/>
              </w:rPr>
              <w:tab/>
            </w:r>
            <w:r>
              <w:rPr>
                <w:rFonts w:hint="eastAsia" w:ascii="PMingLiU" w:eastAsia="PMingLiU"/>
                <w:sz w:val="32"/>
                <w:u w:val="single"/>
              </w:rPr>
              <w:t>年</w:t>
            </w:r>
            <w:r>
              <w:rPr>
                <w:rFonts w:hint="eastAsia" w:ascii="PMingLiU" w:eastAsia="PMingLiU"/>
                <w:sz w:val="32"/>
                <w:u w:val="single"/>
              </w:rPr>
              <w:tab/>
            </w:r>
            <w:r>
              <w:rPr>
                <w:rFonts w:hint="eastAsia" w:ascii="PMingLiU" w:eastAsia="PMingLiU"/>
                <w:sz w:val="32"/>
                <w:u w:val="single"/>
              </w:rPr>
              <w:t>月</w:t>
            </w:r>
            <w:r>
              <w:rPr>
                <w:rFonts w:hint="eastAsia" w:ascii="PMingLiU" w:eastAsia="PMingLiU"/>
                <w:sz w:val="32"/>
                <w:u w:val="single"/>
              </w:rPr>
              <w:tab/>
            </w:r>
            <w:r>
              <w:rPr>
                <w:rFonts w:hint="eastAsia" w:ascii="PMingLiU" w:eastAsia="PMingLiU"/>
                <w:sz w:val="32"/>
                <w:u w:val="single"/>
              </w:rPr>
              <w:t>日</w:t>
            </w:r>
            <w:r>
              <w:rPr>
                <w:rFonts w:hint="eastAsia" w:ascii="PMingLiU" w:eastAsia="PMingLiU"/>
                <w:sz w:val="32"/>
                <w:u w:val="single"/>
              </w:rPr>
              <w:tab/>
            </w:r>
          </w:p>
        </w:tc>
      </w:tr>
    </w:tbl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spacing w:before="217"/>
        <w:ind w:left="428"/>
      </w:pPr>
      <w:r>
        <w:t>— 8 —</w:t>
      </w: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/>
        <w:rPr>
          <w:rFonts w:ascii="Times New Roman"/>
          <w:sz w:val="27"/>
        </w:rPr>
      </w:pPr>
    </w:p>
    <w:p>
      <w:pPr>
        <w:spacing w:before="0" w:line="703" w:lineRule="exact"/>
        <w:ind w:left="3374" w:right="3376" w:firstLine="0"/>
        <w:jc w:val="center"/>
        <w:rPr>
          <w:rFonts w:hint="eastAsia" w:asciiTheme="majorEastAsia" w:hAnsiTheme="majorEastAsia" w:eastAsiaTheme="majorEastAsia" w:cstheme="majorEastAsia"/>
          <w:b/>
          <w:sz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</w:rPr>
        <w:t>填写说明</w:t>
      </w:r>
    </w:p>
    <w:p>
      <w:pPr>
        <w:pStyle w:val="3"/>
        <w:spacing w:before="10"/>
        <w:rPr>
          <w:rFonts w:ascii="Microsoft JhengHei"/>
          <w:b/>
          <w:sz w:val="62"/>
        </w:rPr>
      </w:pPr>
    </w:p>
    <w:p>
      <w:pPr>
        <w:pStyle w:val="3"/>
        <w:numPr>
          <w:ilvl w:val="0"/>
          <w:numId w:val="1"/>
        </w:numPr>
        <w:spacing w:line="343" w:lineRule="auto"/>
        <w:ind w:left="441" w:right="1317"/>
        <w:jc w:val="left"/>
      </w:pPr>
      <w:r>
        <w:t>申报单位应填写全称，并与单位公章一致。</w:t>
      </w:r>
    </w:p>
    <w:p>
      <w:pPr>
        <w:pStyle w:val="3"/>
        <w:numPr>
          <w:ilvl w:val="0"/>
          <w:numId w:val="1"/>
        </w:numPr>
        <w:spacing w:line="343" w:lineRule="auto"/>
        <w:ind w:left="441" w:right="1317"/>
        <w:jc w:val="left"/>
      </w:pPr>
      <w:r>
        <w:t>组织单位审核后，应加盖公章。</w:t>
      </w:r>
    </w:p>
    <w:p>
      <w:pPr>
        <w:pStyle w:val="3"/>
        <w:numPr>
          <w:ilvl w:val="0"/>
          <w:numId w:val="1"/>
        </w:numPr>
        <w:spacing w:before="1" w:line="343" w:lineRule="auto"/>
        <w:ind w:left="441" w:leftChars="0" w:right="993" w:firstLine="0" w:firstLineChars="0"/>
        <w:jc w:val="left"/>
      </w:pPr>
      <w:r>
        <w:t>本申报书中有关项目页面不够时，可加附页。</w:t>
      </w:r>
    </w:p>
    <w:p>
      <w:pPr>
        <w:pStyle w:val="3"/>
        <w:numPr>
          <w:ilvl w:val="0"/>
          <w:numId w:val="1"/>
        </w:numPr>
        <w:spacing w:before="1" w:line="343" w:lineRule="auto"/>
        <w:ind w:left="441" w:leftChars="0" w:right="993" w:firstLine="0" w:firstLineChars="0"/>
        <w:jc w:val="left"/>
      </w:pPr>
      <w:r>
        <w:t>相关证明材料应作为申报方案附件上报。</w:t>
      </w:r>
    </w:p>
    <w:p>
      <w:pPr>
        <w:pStyle w:val="3"/>
        <w:spacing w:line="409" w:lineRule="exact"/>
        <w:ind w:left="441"/>
        <w:jc w:val="left"/>
      </w:pPr>
      <w:r>
        <w:t xml:space="preserve">五、统一使用 </w:t>
      </w:r>
      <w:r>
        <w:rPr>
          <w:rFonts w:ascii="Times New Roman" w:eastAsia="Times New Roman"/>
        </w:rPr>
        <w:t xml:space="preserve">A4 </w:t>
      </w:r>
      <w:r>
        <w:t>纸双面打印、装订成册。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6"/>
        <w:rPr>
          <w:sz w:val="20"/>
        </w:rPr>
      </w:pPr>
    </w:p>
    <w:p>
      <w:pPr>
        <w:spacing w:before="61"/>
        <w:ind w:left="0" w:right="105" w:firstLine="0"/>
        <w:jc w:val="right"/>
        <w:rPr>
          <w:sz w:val="28"/>
        </w:rPr>
      </w:pPr>
      <w:r>
        <w:rPr>
          <w:sz w:val="28"/>
        </w:rPr>
        <w:t>— 9 —</w:t>
      </w:r>
    </w:p>
    <w:p>
      <w:pPr>
        <w:spacing w:after="0"/>
      </w:pPr>
    </w:p>
    <w:p>
      <w:pPr>
        <w:spacing w:after="0"/>
      </w:pPr>
    </w:p>
    <w:p>
      <w:pPr>
        <w:spacing w:after="0"/>
        <w:sectPr>
          <w:type w:val="continuous"/>
          <w:pgSz w:w="11910" w:h="16840"/>
          <w:pgMar w:top="1580" w:right="1380" w:bottom="280" w:left="1360" w:header="720" w:footer="720" w:gutter="0"/>
        </w:sectPr>
      </w:pPr>
    </w:p>
    <w:p>
      <w:pPr>
        <w:spacing w:before="0" w:line="485" w:lineRule="exact"/>
        <w:ind w:right="0" w:firstLine="280" w:firstLineChars="100"/>
        <w:jc w:val="left"/>
        <w:rPr>
          <w:rFonts w:hint="eastAsia"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sz w:val="28"/>
        </w:rPr>
        <w:t>验证点名称：</w:t>
      </w:r>
      <w:bookmarkStart w:id="1" w:name="_GoBack"/>
      <w:bookmarkEnd w:id="1"/>
      <w:r>
        <w:rPr>
          <w:rFonts w:hint="eastAsia" w:ascii="Microsoft JhengHei" w:eastAsia="Microsoft JhengHei"/>
          <w:b/>
          <w:sz w:val="28"/>
        </w:rPr>
        <w:t>国家标准验证点（xxx 领域）</w:t>
      </w:r>
    </w:p>
    <w:tbl>
      <w:tblPr>
        <w:tblStyle w:val="4"/>
        <w:tblW w:w="0" w:type="auto"/>
        <w:tblInd w:w="4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2418"/>
        <w:gridCol w:w="2118"/>
        <w:gridCol w:w="1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371" w:type="dxa"/>
            <w:gridSpan w:val="4"/>
          </w:tcPr>
          <w:p>
            <w:pPr>
              <w:pStyle w:val="8"/>
              <w:spacing w:before="139"/>
              <w:ind w:left="2552" w:right="2546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51" w:type="dxa"/>
          </w:tcPr>
          <w:p>
            <w:pPr>
              <w:pStyle w:val="8"/>
              <w:spacing w:before="85"/>
              <w:ind w:left="114" w:right="106"/>
              <w:jc w:val="center"/>
              <w:rPr>
                <w:sz w:val="28"/>
              </w:rPr>
            </w:pPr>
            <w:r>
              <w:rPr>
                <w:sz w:val="28"/>
              </w:rPr>
              <w:t>申报单位</w:t>
            </w:r>
          </w:p>
        </w:tc>
        <w:tc>
          <w:tcPr>
            <w:tcW w:w="241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118" w:type="dxa"/>
          </w:tcPr>
          <w:p>
            <w:pPr>
              <w:pStyle w:val="8"/>
              <w:spacing w:before="85"/>
              <w:ind w:left="197" w:right="190"/>
              <w:jc w:val="center"/>
              <w:rPr>
                <w:sz w:val="28"/>
              </w:rPr>
            </w:pPr>
            <w:r>
              <w:rPr>
                <w:sz w:val="28"/>
              </w:rPr>
              <w:t>单位性质</w:t>
            </w:r>
          </w:p>
        </w:tc>
        <w:tc>
          <w:tcPr>
            <w:tcW w:w="188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1951" w:type="dxa"/>
          </w:tcPr>
          <w:p>
            <w:pPr>
              <w:pStyle w:val="8"/>
              <w:spacing w:before="9"/>
              <w:rPr>
                <w:rFonts w:ascii="Microsoft JhengHei"/>
                <w:b/>
                <w:sz w:val="20"/>
              </w:rPr>
            </w:pPr>
          </w:p>
          <w:p>
            <w:pPr>
              <w:pStyle w:val="8"/>
              <w:ind w:left="114" w:right="106"/>
              <w:jc w:val="center"/>
              <w:rPr>
                <w:sz w:val="28"/>
              </w:rPr>
            </w:pPr>
            <w:r>
              <w:rPr>
                <w:sz w:val="28"/>
              </w:rPr>
              <w:t>申报单位地址</w:t>
            </w:r>
          </w:p>
        </w:tc>
        <w:tc>
          <w:tcPr>
            <w:tcW w:w="241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118" w:type="dxa"/>
          </w:tcPr>
          <w:p>
            <w:pPr>
              <w:pStyle w:val="8"/>
              <w:spacing w:before="84"/>
              <w:ind w:left="197" w:right="190"/>
              <w:jc w:val="center"/>
              <w:rPr>
                <w:sz w:val="28"/>
              </w:rPr>
            </w:pPr>
            <w:r>
              <w:rPr>
                <w:sz w:val="28"/>
              </w:rPr>
              <w:t>统一社会信用</w:t>
            </w:r>
          </w:p>
          <w:p>
            <w:pPr>
              <w:pStyle w:val="8"/>
              <w:spacing w:before="227"/>
              <w:ind w:left="197" w:right="190"/>
              <w:jc w:val="center"/>
              <w:rPr>
                <w:sz w:val="28"/>
              </w:rPr>
            </w:pPr>
            <w:r>
              <w:rPr>
                <w:sz w:val="28"/>
              </w:rPr>
              <w:t>代码</w:t>
            </w:r>
          </w:p>
        </w:tc>
        <w:tc>
          <w:tcPr>
            <w:tcW w:w="188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51" w:type="dxa"/>
          </w:tcPr>
          <w:p>
            <w:pPr>
              <w:pStyle w:val="8"/>
              <w:spacing w:before="85"/>
              <w:ind w:left="114" w:right="106"/>
              <w:jc w:val="center"/>
              <w:rPr>
                <w:sz w:val="28"/>
              </w:rPr>
            </w:pPr>
            <w:r>
              <w:rPr>
                <w:sz w:val="28"/>
              </w:rPr>
              <w:t>法人代表</w:t>
            </w:r>
          </w:p>
        </w:tc>
        <w:tc>
          <w:tcPr>
            <w:tcW w:w="241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118" w:type="dxa"/>
          </w:tcPr>
          <w:p>
            <w:pPr>
              <w:pStyle w:val="8"/>
              <w:spacing w:before="85"/>
              <w:ind w:left="195" w:right="190"/>
              <w:jc w:val="center"/>
              <w:rPr>
                <w:sz w:val="28"/>
              </w:rPr>
            </w:pPr>
            <w:r>
              <w:rPr>
                <w:sz w:val="28"/>
              </w:rPr>
              <w:t>职务/职称</w:t>
            </w:r>
          </w:p>
        </w:tc>
        <w:tc>
          <w:tcPr>
            <w:tcW w:w="188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951" w:type="dxa"/>
          </w:tcPr>
          <w:p>
            <w:pPr>
              <w:pStyle w:val="8"/>
              <w:spacing w:before="84"/>
              <w:ind w:left="114" w:right="106"/>
              <w:jc w:val="center"/>
              <w:rPr>
                <w:sz w:val="28"/>
              </w:rPr>
            </w:pPr>
            <w:r>
              <w:rPr>
                <w:sz w:val="28"/>
              </w:rPr>
              <w:t>联系人</w:t>
            </w:r>
          </w:p>
        </w:tc>
        <w:tc>
          <w:tcPr>
            <w:tcW w:w="241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118" w:type="dxa"/>
          </w:tcPr>
          <w:p>
            <w:pPr>
              <w:pStyle w:val="8"/>
              <w:spacing w:before="84"/>
              <w:ind w:left="195" w:right="190"/>
              <w:jc w:val="center"/>
              <w:rPr>
                <w:sz w:val="28"/>
              </w:rPr>
            </w:pPr>
            <w:r>
              <w:rPr>
                <w:sz w:val="28"/>
              </w:rPr>
              <w:t>职务/职称</w:t>
            </w:r>
          </w:p>
        </w:tc>
        <w:tc>
          <w:tcPr>
            <w:tcW w:w="188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951" w:type="dxa"/>
          </w:tcPr>
          <w:p>
            <w:pPr>
              <w:pStyle w:val="8"/>
              <w:spacing w:before="83"/>
              <w:ind w:left="114" w:right="106"/>
              <w:jc w:val="center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241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118" w:type="dxa"/>
          </w:tcPr>
          <w:p>
            <w:pPr>
              <w:pStyle w:val="8"/>
              <w:spacing w:before="83"/>
              <w:ind w:left="197" w:right="190"/>
              <w:jc w:val="center"/>
              <w:rPr>
                <w:sz w:val="28"/>
              </w:rPr>
            </w:pPr>
            <w:r>
              <w:rPr>
                <w:sz w:val="28"/>
              </w:rPr>
              <w:t>传真号码</w:t>
            </w:r>
          </w:p>
        </w:tc>
        <w:tc>
          <w:tcPr>
            <w:tcW w:w="188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51" w:type="dxa"/>
          </w:tcPr>
          <w:p>
            <w:pPr>
              <w:pStyle w:val="8"/>
              <w:spacing w:before="85"/>
              <w:ind w:left="114" w:right="106"/>
              <w:jc w:val="center"/>
              <w:rPr>
                <w:sz w:val="28"/>
              </w:rPr>
            </w:pPr>
            <w:r>
              <w:rPr>
                <w:sz w:val="28"/>
              </w:rPr>
              <w:t>邮编</w:t>
            </w:r>
          </w:p>
        </w:tc>
        <w:tc>
          <w:tcPr>
            <w:tcW w:w="241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118" w:type="dxa"/>
          </w:tcPr>
          <w:p>
            <w:pPr>
              <w:pStyle w:val="8"/>
              <w:spacing w:before="85"/>
              <w:ind w:left="197" w:right="190"/>
              <w:jc w:val="center"/>
              <w:rPr>
                <w:sz w:val="28"/>
              </w:rPr>
            </w:pPr>
            <w:r>
              <w:rPr>
                <w:sz w:val="28"/>
              </w:rPr>
              <w:t>电子邮箱</w:t>
            </w:r>
          </w:p>
        </w:tc>
        <w:tc>
          <w:tcPr>
            <w:tcW w:w="188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8371" w:type="dxa"/>
            <w:gridSpan w:val="4"/>
          </w:tcPr>
          <w:p>
            <w:pPr>
              <w:pStyle w:val="8"/>
              <w:spacing w:before="247"/>
              <w:ind w:left="2552" w:right="2546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一、必要性及意义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4" w:hRule="atLeast"/>
        </w:trPr>
        <w:tc>
          <w:tcPr>
            <w:tcW w:w="8371" w:type="dxa"/>
            <w:gridSpan w:val="4"/>
          </w:tcPr>
          <w:p>
            <w:pPr>
              <w:pStyle w:val="8"/>
              <w:spacing w:before="83" w:line="393" w:lineRule="auto"/>
              <w:ind w:left="107" w:right="98" w:firstLine="568"/>
              <w:rPr>
                <w:sz w:val="28"/>
              </w:rPr>
            </w:pPr>
            <w:r>
              <w:rPr>
                <w:sz w:val="28"/>
              </w:rPr>
              <w:t>重点介绍本领域标准验证工作开展的必要性及意义，包括开展现状、重点和难点分析及解决思路。</w:t>
            </w:r>
          </w:p>
        </w:tc>
      </w:tr>
    </w:tbl>
    <w:p>
      <w:pPr>
        <w:pStyle w:val="3"/>
        <w:spacing w:before="17"/>
        <w:rPr>
          <w:rFonts w:ascii="Microsoft JhengHei"/>
          <w:b/>
          <w:sz w:val="22"/>
        </w:rPr>
      </w:pPr>
    </w:p>
    <w:p>
      <w:pPr>
        <w:pStyle w:val="3"/>
        <w:ind w:left="428"/>
      </w:pPr>
      <w:r>
        <w:t>— 10 —</w:t>
      </w:r>
    </w:p>
    <w:p>
      <w:pPr>
        <w:spacing w:after="0"/>
        <w:sectPr>
          <w:pgSz w:w="11910" w:h="16840"/>
          <w:pgMar w:top="1580" w:right="1380" w:bottom="280" w:left="1360" w:header="720" w:footer="720" w:gutter="0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241"/>
        <w:ind w:left="3592" w:right="3577"/>
        <w:jc w:val="center"/>
        <w:rPr>
          <w:rFonts w:hint="eastAsia" w:ascii="黑体" w:eastAsia="黑体"/>
        </w:rPr>
      </w:pPr>
      <w:r>
        <mc:AlternateContent>
          <mc:Choice Requires="wps">
            <w:drawing>
              <wp:anchor distT="0" distB="0" distL="114300" distR="114300" simplePos="0" relativeHeight="251353088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-123190</wp:posOffset>
                </wp:positionV>
                <wp:extent cx="5321935" cy="8215630"/>
                <wp:effectExtent l="1270" t="0" r="10795" b="55245"/>
                <wp:wrapNone/>
                <wp:docPr id="1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935" cy="82156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381" h="12938">
                              <a:moveTo>
                                <a:pt x="0" y="72"/>
                              </a:moveTo>
                              <a:lnTo>
                                <a:pt x="8381" y="72"/>
                              </a:lnTo>
                              <a:moveTo>
                                <a:pt x="0" y="997"/>
                              </a:moveTo>
                              <a:lnTo>
                                <a:pt x="8381" y="997"/>
                              </a:lnTo>
                              <a:moveTo>
                                <a:pt x="0" y="13005"/>
                              </a:moveTo>
                              <a:lnTo>
                                <a:pt x="8381" y="13005"/>
                              </a:lnTo>
                              <a:moveTo>
                                <a:pt x="5" y="68"/>
                              </a:moveTo>
                              <a:lnTo>
                                <a:pt x="5" y="13001"/>
                              </a:lnTo>
                              <a:moveTo>
                                <a:pt x="8376" y="68"/>
                              </a:moveTo>
                              <a:lnTo>
                                <a:pt x="8376" y="13001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" o:spid="_x0000_s1026" o:spt="100" style="position:absolute;left:0pt;margin-left:88.1pt;margin-top:-9.7pt;height:646.9pt;width:419.05pt;mso-position-horizontal-relative:page;z-index:-251963392;mso-width-relative:page;mso-height-relative:page;" filled="f" stroked="t" coordsize="8381,12938" o:gfxdata="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AK&#10;4IzcAAAADQEAAA8AAAAAAAAAAQAgAAAAIgAAAGRycy9kb3ducmV2LnhtbFBLAQIUABQAAAAIAIdO&#10;4kANqRN0WAIAAJgFAAAOAAAAAAAAAAEAIAAAACsBAABkcnMvZTJvRG9jLnhtbFBLBQYAAAAABgAG&#10;AFkBAAD1BQAAAAA=&#10;" path="m0,72l8381,72m0,997l8381,997m0,13005l8381,13005m5,68l5,13001m8376,68l8376,13001e"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eastAsia="黑体"/>
        </w:rPr>
        <w:t>二、可行性分析</w:t>
      </w:r>
    </w:p>
    <w:p>
      <w:pPr>
        <w:pStyle w:val="3"/>
        <w:spacing w:before="4"/>
        <w:rPr>
          <w:rFonts w:ascii="黑体"/>
          <w:sz w:val="30"/>
        </w:rPr>
      </w:pPr>
    </w:p>
    <w:p>
      <w:pPr>
        <w:pStyle w:val="2"/>
        <w:ind w:left="1124"/>
      </w:pPr>
      <w:r>
        <w:t>（一）本领域标准验证点建设目标和总体思路。</w:t>
      </w:r>
    </w:p>
    <w:p>
      <w:pPr>
        <w:pStyle w:val="3"/>
        <w:spacing w:before="236" w:line="400" w:lineRule="auto"/>
        <w:ind w:left="514" w:right="428" w:firstLine="568"/>
      </w:pPr>
      <w:r>
        <w:t>明确标准验证点建设的整体目标，关键目标应量化、可考核， 系统完整提出为达到预期建设目标的总体思路。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2"/>
        <w:spacing w:before="236"/>
        <w:ind w:left="1124"/>
      </w:pPr>
      <w:r>
        <w:t>（二）本领域标准验证点建设规划。</w:t>
      </w:r>
    </w:p>
    <w:p>
      <w:pPr>
        <w:pStyle w:val="3"/>
        <w:spacing w:before="235" w:line="400" w:lineRule="auto"/>
        <w:ind w:left="514" w:right="489" w:firstLine="568"/>
        <w:jc w:val="both"/>
      </w:pPr>
      <w:r>
        <w:rPr>
          <w:spacing w:val="-4"/>
        </w:rPr>
        <w:t>分阶段描述标准验证点建设三年规划，包括制度建设、验证资</w:t>
      </w:r>
      <w:r>
        <w:rPr>
          <w:spacing w:val="-9"/>
        </w:rPr>
        <w:t>源建设、验证能力提升、与标准制修订和实施应用的衔接、拟将开</w:t>
      </w:r>
      <w:r>
        <w:t>展的市场化运作模式、服务机制以及经济社会效益预估。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6"/>
        </w:rPr>
      </w:pPr>
    </w:p>
    <w:p>
      <w:pPr>
        <w:pStyle w:val="3"/>
        <w:spacing w:before="61"/>
        <w:ind w:right="405"/>
        <w:jc w:val="right"/>
      </w:pPr>
      <w:r>
        <w:t>— 11 —</w:t>
      </w:r>
    </w:p>
    <w:p>
      <w:pPr>
        <w:spacing w:after="0"/>
        <w:jc w:val="right"/>
        <w:sectPr>
          <w:pgSz w:w="11910" w:h="16840"/>
          <w:pgMar w:top="1580" w:right="1380" w:bottom="280" w:left="1360" w:header="720" w:footer="720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0"/>
        </w:rPr>
      </w:pPr>
    </w:p>
    <w:tbl>
      <w:tblPr>
        <w:tblStyle w:val="4"/>
        <w:tblW w:w="0" w:type="auto"/>
        <w:tblInd w:w="4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0" w:hRule="atLeast"/>
        </w:trPr>
        <w:tc>
          <w:tcPr>
            <w:tcW w:w="8371" w:type="dxa"/>
          </w:tcPr>
          <w:p>
            <w:pPr>
              <w:pStyle w:val="8"/>
              <w:spacing w:before="181"/>
              <w:ind w:left="716"/>
              <w:rPr>
                <w:rFonts w:hint="eastAsia" w:ascii="楷体" w:eastAsia="楷体"/>
                <w:sz w:val="30"/>
              </w:rPr>
            </w:pPr>
            <w:r>
              <w:rPr>
                <w:rFonts w:hint="eastAsia" w:ascii="楷体" w:eastAsia="楷体"/>
                <w:sz w:val="30"/>
              </w:rPr>
              <w:t>（三）本领域标准验证点建设基础条件。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1029"/>
              </w:tabs>
              <w:spacing w:before="236" w:after="0" w:line="400" w:lineRule="auto"/>
              <w:ind w:left="107" w:right="101" w:firstLine="568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本单位标准验证工作基础条件，包括从事标准验证工作的人员、设备设施、场地条件等；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1029"/>
              </w:tabs>
              <w:spacing w:before="2" w:after="0" w:line="400" w:lineRule="auto"/>
              <w:ind w:left="107" w:right="-44" w:firstLine="568"/>
              <w:jc w:val="left"/>
              <w:rPr>
                <w:sz w:val="28"/>
              </w:rPr>
            </w:pPr>
            <w:r>
              <w:rPr>
                <w:spacing w:val="-8"/>
                <w:sz w:val="28"/>
              </w:rPr>
              <w:t>本单位承接标准验证的工作情况，结合标准验证案例，详细</w:t>
            </w:r>
            <w:r>
              <w:rPr>
                <w:spacing w:val="-18"/>
                <w:sz w:val="28"/>
              </w:rPr>
              <w:t xml:space="preserve">阐述标准验证的内容、方案制定、验证方法、平台搭建、验证流程， </w:t>
            </w:r>
            <w:r>
              <w:rPr>
                <w:spacing w:val="-16"/>
                <w:sz w:val="28"/>
              </w:rPr>
              <w:t>标准验证数据采集、测量结果不确定度要求以及标准验证报告等；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1029"/>
              </w:tabs>
              <w:spacing w:before="2" w:after="0" w:line="240" w:lineRule="auto"/>
              <w:ind w:left="1028" w:right="0" w:hanging="354"/>
              <w:jc w:val="left"/>
              <w:rPr>
                <w:sz w:val="28"/>
              </w:rPr>
            </w:pPr>
            <w:r>
              <w:rPr>
                <w:sz w:val="28"/>
              </w:rPr>
              <w:t>本单位标准验证工作已有的管理办法、技术制度等；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1029"/>
              </w:tabs>
              <w:spacing w:before="242" w:after="0" w:line="240" w:lineRule="auto"/>
              <w:ind w:left="1028" w:right="-29" w:hanging="354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本单位能为标准验证点建设提供的办公条件及经费支持情况。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8371" w:type="dxa"/>
          </w:tcPr>
          <w:p>
            <w:pPr>
              <w:pStyle w:val="8"/>
              <w:spacing w:before="11"/>
              <w:rPr>
                <w:sz w:val="27"/>
              </w:rPr>
            </w:pPr>
          </w:p>
          <w:p>
            <w:pPr>
              <w:pStyle w:val="8"/>
              <w:ind w:left="2974" w:right="2546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三、其他相关基础条件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8" w:hRule="atLeast"/>
        </w:trPr>
        <w:tc>
          <w:tcPr>
            <w:tcW w:w="8371" w:type="dxa"/>
          </w:tcPr>
          <w:p>
            <w:pPr>
              <w:pStyle w:val="8"/>
              <w:spacing w:before="180"/>
              <w:ind w:left="716"/>
              <w:rPr>
                <w:rFonts w:hint="eastAsia" w:ascii="楷体" w:eastAsia="楷体"/>
                <w:sz w:val="30"/>
              </w:rPr>
            </w:pPr>
            <w:r>
              <w:rPr>
                <w:rFonts w:hint="eastAsia" w:ascii="楷体" w:eastAsia="楷体"/>
                <w:sz w:val="30"/>
              </w:rPr>
              <w:t>（一）标准化工作基础条件。</w:t>
            </w:r>
          </w:p>
          <w:p>
            <w:pPr>
              <w:pStyle w:val="8"/>
              <w:spacing w:before="236" w:line="400" w:lineRule="auto"/>
              <w:ind w:left="107" w:right="31" w:firstLine="568"/>
              <w:jc w:val="both"/>
              <w:rPr>
                <w:sz w:val="28"/>
              </w:rPr>
            </w:pPr>
            <w:r>
              <w:rPr>
                <w:sz w:val="28"/>
              </w:rPr>
              <w:t>包括以往开展标准制修订工作、标准验证评估、标准实施推广工作，参与国际标准化活动，标准化培训，标准化团体（联盟）， 为产业发展市场竞争提供的标准化服务等方面情况。</w:t>
            </w:r>
          </w:p>
        </w:tc>
      </w:tr>
    </w:tbl>
    <w:p>
      <w:pPr>
        <w:pStyle w:val="3"/>
        <w:spacing w:before="6"/>
        <w:rPr>
          <w:sz w:val="8"/>
        </w:rPr>
      </w:pPr>
    </w:p>
    <w:p>
      <w:pPr>
        <w:pStyle w:val="3"/>
        <w:spacing w:before="62"/>
        <w:ind w:left="428"/>
      </w:pPr>
      <w:r>
        <w:t>— 12 —</w:t>
      </w:r>
    </w:p>
    <w:p>
      <w:pPr>
        <w:spacing w:after="0"/>
        <w:sectPr>
          <w:pgSz w:w="11910" w:h="16840"/>
          <w:pgMar w:top="1580" w:right="1380" w:bottom="280" w:left="1360" w:header="720" w:footer="720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0"/>
        </w:rPr>
      </w:pPr>
    </w:p>
    <w:p>
      <w:pPr>
        <w:pStyle w:val="3"/>
        <w:ind w:left="40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5315585" cy="8007350"/>
                <wp:effectExtent l="4445" t="4445" r="13970" b="8255"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5585" cy="800735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81"/>
                              <w:ind w:left="712" w:right="0" w:firstLine="0"/>
                              <w:jc w:val="left"/>
                              <w:rPr>
                                <w:rFonts w:hint="eastAsia" w:ascii="楷体" w:eastAsia="楷体"/>
                                <w:sz w:val="30"/>
                              </w:rPr>
                            </w:pPr>
                            <w:r>
                              <w:rPr>
                                <w:rFonts w:hint="eastAsia" w:ascii="楷体" w:eastAsia="楷体"/>
                                <w:sz w:val="30"/>
                              </w:rPr>
                              <w:t>（二）测量测试和检验检测能力。</w:t>
                            </w:r>
                          </w:p>
                          <w:p>
                            <w:pPr>
                              <w:pStyle w:val="3"/>
                              <w:spacing w:before="236" w:line="400" w:lineRule="auto"/>
                              <w:ind w:left="102" w:right="96" w:firstLine="568"/>
                              <w:jc w:val="both"/>
                            </w:pPr>
                            <w:r>
                              <w:t>本单位与测量测试和检验检测能力相关的平台建设、资质、人员、设备、相关技术规范等，与其他优质测量测试、检验检测资源合作机制，协同实验室的筛选、考核、管理等。</w:t>
                            </w:r>
                          </w:p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pStyle w:val="3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712" w:right="0" w:firstLine="0"/>
                              <w:jc w:val="left"/>
                              <w:rPr>
                                <w:rFonts w:hint="eastAsia" w:ascii="楷体" w:eastAsia="楷体"/>
                                <w:sz w:val="30"/>
                              </w:rPr>
                            </w:pPr>
                            <w:r>
                              <w:rPr>
                                <w:rFonts w:hint="eastAsia" w:ascii="楷体" w:eastAsia="楷体"/>
                                <w:sz w:val="30"/>
                              </w:rPr>
                              <w:t>（三）科研能力。</w:t>
                            </w:r>
                          </w:p>
                          <w:p>
                            <w:pPr>
                              <w:pStyle w:val="3"/>
                              <w:spacing w:before="235" w:line="400" w:lineRule="auto"/>
                              <w:ind w:left="102" w:right="96" w:firstLine="568"/>
                              <w:jc w:val="both"/>
                            </w:pPr>
                            <w:r>
                              <w:rPr>
                                <w:spacing w:val="-5"/>
                              </w:rPr>
                              <w:t>本单位具备的国家实验室、国家重点实验室、国家工程研究中</w:t>
                            </w:r>
                            <w:r>
                              <w:rPr>
                                <w:spacing w:val="-8"/>
                              </w:rPr>
                              <w:t>心等科技、产业创新平台和资源，国家及省部级重大科技项目参与及奖项获得情况。</w:t>
                            </w:r>
                          </w:p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spacing w:before="231"/>
                              <w:ind w:left="712" w:right="0" w:firstLine="0"/>
                              <w:jc w:val="left"/>
                              <w:rPr>
                                <w:rFonts w:hint="eastAsia" w:ascii="楷体" w:eastAsia="楷体"/>
                                <w:sz w:val="30"/>
                              </w:rPr>
                            </w:pPr>
                            <w:r>
                              <w:rPr>
                                <w:rFonts w:hint="eastAsia" w:ascii="楷体" w:eastAsia="楷体"/>
                                <w:sz w:val="30"/>
                              </w:rPr>
                              <w:t>(四)其他材料。</w:t>
                            </w:r>
                          </w:p>
                          <w:p>
                            <w:pPr>
                              <w:pStyle w:val="3"/>
                              <w:spacing w:before="235"/>
                              <w:ind w:left="810"/>
                            </w:pPr>
                            <w:r>
                              <w:t>与基础条件有关的其他材料。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3" o:spid="_x0000_s1026" o:spt="202" type="#_x0000_t202" style="height:630.5pt;width:418.55pt;" filled="f" stroked="t" coordsize="21600,21600" o:gfxdata="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yLU6tQAAAAGAQAADwAAAAAAAAABACAAAAAiAAAAZHJzL2Rvd25yZXYueG1s&#10;UEsBAhQAFAAAAAgAh07iQMMpKRv8AQAA5AMAAA4AAAAAAAAAAQAgAAAAIwEAAGRycy9lMm9Eb2Mu&#10;eG1sUEsFBgAAAAAGAAYAWQEAAJEFAAAAAA=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81"/>
                        <w:ind w:left="712" w:right="0" w:firstLine="0"/>
                        <w:jc w:val="left"/>
                        <w:rPr>
                          <w:rFonts w:hint="eastAsia" w:ascii="楷体" w:eastAsia="楷体"/>
                          <w:sz w:val="30"/>
                        </w:rPr>
                      </w:pPr>
                      <w:r>
                        <w:rPr>
                          <w:rFonts w:hint="eastAsia" w:ascii="楷体" w:eastAsia="楷体"/>
                          <w:sz w:val="30"/>
                        </w:rPr>
                        <w:t>（二）测量测试和检验检测能力。</w:t>
                      </w:r>
                    </w:p>
                    <w:p>
                      <w:pPr>
                        <w:pStyle w:val="3"/>
                        <w:spacing w:before="236" w:line="400" w:lineRule="auto"/>
                        <w:ind w:left="102" w:right="96" w:firstLine="568"/>
                        <w:jc w:val="both"/>
                      </w:pPr>
                      <w:r>
                        <w:t>本单位与测量测试和检验检测能力相关的平台建设、资质、人员、设备、相关技术规范等，与其他优质测量测试、检验检测资源合作机制，协同实验室的筛选、考核、管理等。</w:t>
                      </w:r>
                    </w:p>
                    <w:p>
                      <w:pPr>
                        <w:pStyle w:val="3"/>
                      </w:pPr>
                    </w:p>
                    <w:p>
                      <w:pPr>
                        <w:pStyle w:val="3"/>
                      </w:pPr>
                    </w:p>
                    <w:p>
                      <w:pPr>
                        <w:pStyle w:val="3"/>
                      </w:pPr>
                    </w:p>
                    <w:p>
                      <w:pPr>
                        <w:pStyle w:val="3"/>
                      </w:pPr>
                    </w:p>
                    <w:p>
                      <w:pPr>
                        <w:pStyle w:val="3"/>
                        <w:spacing w:before="2"/>
                        <w:rPr>
                          <w:sz w:val="27"/>
                        </w:rPr>
                      </w:pPr>
                    </w:p>
                    <w:p>
                      <w:pPr>
                        <w:spacing w:before="0"/>
                        <w:ind w:left="712" w:right="0" w:firstLine="0"/>
                        <w:jc w:val="left"/>
                        <w:rPr>
                          <w:rFonts w:hint="eastAsia" w:ascii="楷体" w:eastAsia="楷体"/>
                          <w:sz w:val="30"/>
                        </w:rPr>
                      </w:pPr>
                      <w:r>
                        <w:rPr>
                          <w:rFonts w:hint="eastAsia" w:ascii="楷体" w:eastAsia="楷体"/>
                          <w:sz w:val="30"/>
                        </w:rPr>
                        <w:t>（三）科研能力。</w:t>
                      </w:r>
                    </w:p>
                    <w:p>
                      <w:pPr>
                        <w:pStyle w:val="3"/>
                        <w:spacing w:before="235" w:line="400" w:lineRule="auto"/>
                        <w:ind w:left="102" w:right="96" w:firstLine="568"/>
                        <w:jc w:val="both"/>
                      </w:pPr>
                      <w:r>
                        <w:rPr>
                          <w:spacing w:val="-5"/>
                        </w:rPr>
                        <w:t>本单位具备的国家实验室、国家重点实验室、国家工程研究中</w:t>
                      </w:r>
                      <w:r>
                        <w:rPr>
                          <w:spacing w:val="-8"/>
                        </w:rPr>
                        <w:t>心等科技、产业创新平台和资源，国家及省部级重大科技项目参与及奖项获得情况。</w:t>
                      </w:r>
                    </w:p>
                    <w:p>
                      <w:pPr>
                        <w:pStyle w:val="3"/>
                      </w:pPr>
                    </w:p>
                    <w:p>
                      <w:pPr>
                        <w:pStyle w:val="3"/>
                      </w:pPr>
                    </w:p>
                    <w:p>
                      <w:pPr>
                        <w:pStyle w:val="3"/>
                      </w:pPr>
                    </w:p>
                    <w:p>
                      <w:pPr>
                        <w:pStyle w:val="3"/>
                      </w:pPr>
                    </w:p>
                    <w:p>
                      <w:pPr>
                        <w:pStyle w:val="3"/>
                      </w:pPr>
                    </w:p>
                    <w:p>
                      <w:pPr>
                        <w:pStyle w:val="3"/>
                      </w:pPr>
                    </w:p>
                    <w:p>
                      <w:pPr>
                        <w:spacing w:before="231"/>
                        <w:ind w:left="712" w:right="0" w:firstLine="0"/>
                        <w:jc w:val="left"/>
                        <w:rPr>
                          <w:rFonts w:hint="eastAsia" w:ascii="楷体" w:eastAsia="楷体"/>
                          <w:sz w:val="30"/>
                        </w:rPr>
                      </w:pPr>
                      <w:r>
                        <w:rPr>
                          <w:rFonts w:hint="eastAsia" w:ascii="楷体" w:eastAsia="楷体"/>
                          <w:sz w:val="30"/>
                        </w:rPr>
                        <w:t>(四)其他材料。</w:t>
                      </w:r>
                    </w:p>
                    <w:p>
                      <w:pPr>
                        <w:pStyle w:val="3"/>
                        <w:spacing w:before="235"/>
                        <w:ind w:left="810"/>
                      </w:pPr>
                      <w:r>
                        <w:t>与基础条件有关的其他材料。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3"/>
        <w:rPr>
          <w:sz w:val="20"/>
        </w:rPr>
      </w:pPr>
    </w:p>
    <w:p>
      <w:pPr>
        <w:pStyle w:val="3"/>
        <w:spacing w:before="221"/>
        <w:ind w:right="405"/>
        <w:jc w:val="right"/>
      </w:pPr>
      <w:r>
        <w:t>— 13 —</w:t>
      </w:r>
    </w:p>
    <w:sectPr>
      <w:pgSz w:w="11910" w:h="16840"/>
      <w:pgMar w:top="1580" w:right="1380" w:bottom="280" w:left="13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21BA72"/>
    <w:multiLevelType w:val="singleLevel"/>
    <w:tmpl w:val="EE21BA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7" w:hanging="35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26" w:hanging="35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52" w:hanging="35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578" w:hanging="35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404" w:hanging="35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30" w:hanging="35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056" w:hanging="35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882" w:hanging="35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708" w:hanging="353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80153"/>
    <w:rsid w:val="147E3812"/>
    <w:rsid w:val="488372F9"/>
    <w:rsid w:val="4DB84712"/>
    <w:rsid w:val="636954A9"/>
    <w:rsid w:val="745D3F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12"/>
      <w:outlineLvl w:val="1"/>
    </w:pPr>
    <w:rPr>
      <w:rFonts w:ascii="楷体" w:hAnsi="楷体" w:eastAsia="楷体" w:cs="楷体"/>
      <w:sz w:val="30"/>
      <w:szCs w:val="30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ScaleCrop>false</ScaleCrop>
  <LinksUpToDate>false</LinksUpToDate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2022-04-13T00:59:00Z</dcterms:created>
  <dc:creator>Administrator</dc:creator>
  <cp:lastModifiedBy>努努</cp:lastModifiedBy>
  <dcterms:modified xsi:type="dcterms:W3CDTF">2022-04-13T01:14:13Z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2022-04-13T00:00:00Z</vt:filetime>
  </property>
  <property fmtid="{D5CDD505-2E9C-101B-9397-08002B2CF9AE}" pid="3" name="KSOProductBuildVer">
    <vt:lpwstr>2052-11.1.0.9564</vt:lpwstr>
  </property>
</Properties>
</file>