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margin" w:tblpY="1589"/>
        <w:tblW w:w="5000" w:type="pct"/>
        <w:tblInd w:w="0" w:type="dxa"/>
        <w:tblLayout w:type="autofit"/>
        <w:tblCellMar>
          <w:top w:w="0" w:type="dxa"/>
          <w:left w:w="108" w:type="dxa"/>
          <w:bottom w:w="0" w:type="dxa"/>
          <w:right w:w="108" w:type="dxa"/>
        </w:tblCellMar>
      </w:tblPr>
      <w:tblGrid>
        <w:gridCol w:w="498"/>
        <w:gridCol w:w="797"/>
        <w:gridCol w:w="1168"/>
        <w:gridCol w:w="1330"/>
        <w:gridCol w:w="1993"/>
        <w:gridCol w:w="1502"/>
        <w:gridCol w:w="865"/>
        <w:gridCol w:w="998"/>
        <w:gridCol w:w="1196"/>
        <w:gridCol w:w="1023"/>
        <w:gridCol w:w="9"/>
        <w:gridCol w:w="2784"/>
        <w:gridCol w:w="11"/>
      </w:tblGrid>
      <w:tr>
        <w:tblPrEx>
          <w:tblCellMar>
            <w:top w:w="0" w:type="dxa"/>
            <w:left w:w="108" w:type="dxa"/>
            <w:bottom w:w="0" w:type="dxa"/>
            <w:right w:w="108" w:type="dxa"/>
          </w:tblCellMar>
        </w:tblPrEx>
        <w:trPr>
          <w:trHeight w:val="1260" w:hRule="atLeast"/>
        </w:trPr>
        <w:tc>
          <w:tcPr>
            <w:tcW w:w="5000" w:type="pct"/>
            <w:gridSpan w:val="13"/>
            <w:tcBorders>
              <w:top w:val="nil"/>
              <w:left w:val="nil"/>
              <w:bottom w:val="single" w:color="auto" w:sz="4" w:space="0"/>
              <w:right w:val="nil"/>
            </w:tcBorders>
            <w:shd w:val="clear" w:color="auto" w:fill="auto"/>
            <w:noWrap w:val="0"/>
            <w:vAlign w:val="center"/>
          </w:tcPr>
          <w:p>
            <w:pPr>
              <w:snapToGrid w:val="0"/>
              <w:jc w:val="left"/>
              <w:rPr>
                <w:rFonts w:hint="eastAsia" w:ascii="黑体" w:hAnsi="黑体" w:eastAsia="黑体" w:cs="宋体"/>
                <w:color w:val="000000"/>
                <w:kern w:val="0"/>
                <w:szCs w:val="32"/>
              </w:rPr>
            </w:pPr>
          </w:p>
          <w:p>
            <w:pPr>
              <w:snapToGrid w:val="0"/>
              <w:jc w:val="center"/>
              <w:rPr>
                <w:rFonts w:hint="eastAsia" w:ascii="方正小标宋简体" w:hAnsi="宋体" w:eastAsia="方正小标宋简体" w:cs="宋体"/>
                <w:color w:val="000000"/>
                <w:kern w:val="0"/>
                <w:sz w:val="44"/>
                <w:szCs w:val="44"/>
              </w:rPr>
            </w:pPr>
          </w:p>
          <w:p>
            <w:pPr>
              <w:snapToGrid w:val="0"/>
              <w:jc w:val="center"/>
              <w:rPr>
                <w:rFonts w:ascii="方正小标宋简体" w:hAnsi="宋体" w:eastAsia="方正小标宋简体" w:cs="宋体"/>
                <w:color w:val="000000"/>
                <w:kern w:val="0"/>
                <w:sz w:val="44"/>
                <w:szCs w:val="44"/>
              </w:rPr>
            </w:pPr>
            <w:bookmarkStart w:id="0" w:name="_GoBack"/>
            <w:r>
              <w:rPr>
                <w:rFonts w:hint="eastAsia" w:ascii="方正小标宋简体" w:hAnsi="宋体" w:eastAsia="方正小标宋简体" w:cs="宋体"/>
                <w:color w:val="000000"/>
                <w:kern w:val="0"/>
                <w:sz w:val="44"/>
                <w:szCs w:val="44"/>
              </w:rPr>
              <w:t>济南市市场监管系统“双随机、一公开”抽查事项清单（第二版）</w:t>
            </w:r>
            <w:bookmarkEnd w:id="0"/>
          </w:p>
        </w:tc>
      </w:tr>
      <w:tr>
        <w:tblPrEx>
          <w:tblCellMar>
            <w:top w:w="0" w:type="dxa"/>
            <w:left w:w="108" w:type="dxa"/>
            <w:bottom w:w="0" w:type="dxa"/>
            <w:right w:w="108" w:type="dxa"/>
          </w:tblCellMar>
        </w:tblPrEx>
        <w:trPr>
          <w:trHeight w:val="455" w:hRule="atLeast"/>
        </w:trPr>
        <w:tc>
          <w:tcPr>
            <w:tcW w:w="176" w:type="pc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281" w:type="pct"/>
            <w:tcBorders>
              <w:top w:val="nil"/>
              <w:left w:val="nil"/>
              <w:bottom w:val="single" w:color="auto" w:sz="4" w:space="0"/>
              <w:right w:val="single" w:color="auto" w:sz="4" w:space="0"/>
            </w:tcBorders>
            <w:shd w:val="clear" w:color="auto" w:fill="auto"/>
            <w:noWrap w:val="0"/>
            <w:vAlign w:val="center"/>
          </w:tcPr>
          <w:p>
            <w:pPr>
              <w:snapToGrid w:val="0"/>
              <w:jc w:val="center"/>
              <w:rPr>
                <w:rFonts w:ascii="黑体" w:hAnsi="黑体" w:eastAsia="黑体" w:cs="宋体"/>
                <w:bCs/>
                <w:kern w:val="0"/>
                <w:sz w:val="21"/>
                <w:szCs w:val="21"/>
              </w:rPr>
            </w:pPr>
            <w:r>
              <w:rPr>
                <w:rFonts w:hint="eastAsia" w:ascii="黑体" w:hAnsi="黑体" w:eastAsia="黑体" w:cs="宋体"/>
                <w:bCs/>
                <w:kern w:val="0"/>
                <w:sz w:val="21"/>
                <w:szCs w:val="21"/>
              </w:rPr>
              <w:t>抽查类别</w:t>
            </w:r>
          </w:p>
        </w:tc>
        <w:tc>
          <w:tcPr>
            <w:tcW w:w="412" w:type="pct"/>
            <w:tcBorders>
              <w:top w:val="nil"/>
              <w:left w:val="nil"/>
              <w:bottom w:val="single" w:color="auto" w:sz="4" w:space="0"/>
              <w:right w:val="single" w:color="auto" w:sz="4" w:space="0"/>
            </w:tcBorders>
            <w:shd w:val="clear" w:color="auto" w:fill="auto"/>
            <w:noWrap w:val="0"/>
            <w:vAlign w:val="center"/>
          </w:tcPr>
          <w:p>
            <w:pPr>
              <w:snapToGrid w:val="0"/>
              <w:jc w:val="center"/>
              <w:rPr>
                <w:rFonts w:ascii="黑体" w:hAnsi="黑体" w:eastAsia="黑体" w:cs="宋体"/>
                <w:bCs/>
                <w:kern w:val="0"/>
                <w:sz w:val="21"/>
                <w:szCs w:val="21"/>
              </w:rPr>
            </w:pPr>
            <w:r>
              <w:rPr>
                <w:rFonts w:hint="eastAsia" w:ascii="黑体" w:hAnsi="黑体" w:eastAsia="黑体" w:cs="宋体"/>
                <w:bCs/>
                <w:kern w:val="0"/>
                <w:sz w:val="21"/>
                <w:szCs w:val="21"/>
              </w:rPr>
              <w:t>权责清单事项</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ascii="黑体" w:hAnsi="黑体" w:eastAsia="黑体" w:cs="宋体"/>
                <w:bCs/>
                <w:kern w:val="0"/>
                <w:sz w:val="21"/>
                <w:szCs w:val="21"/>
              </w:rPr>
            </w:pPr>
            <w:r>
              <w:rPr>
                <w:rFonts w:hint="eastAsia" w:ascii="黑体" w:hAnsi="黑体" w:eastAsia="黑体" w:cs="宋体"/>
                <w:bCs/>
                <w:kern w:val="0"/>
                <w:sz w:val="21"/>
                <w:szCs w:val="21"/>
              </w:rPr>
              <w:t>抽查事项</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center"/>
              <w:rPr>
                <w:rFonts w:ascii="黑体" w:hAnsi="黑体" w:eastAsia="黑体" w:cs="宋体"/>
                <w:bCs/>
                <w:kern w:val="0"/>
                <w:sz w:val="21"/>
                <w:szCs w:val="21"/>
              </w:rPr>
            </w:pPr>
            <w:r>
              <w:rPr>
                <w:rFonts w:hint="eastAsia" w:ascii="黑体" w:hAnsi="黑体" w:eastAsia="黑体" w:cs="宋体"/>
                <w:bCs/>
                <w:kern w:val="0"/>
                <w:sz w:val="21"/>
                <w:szCs w:val="21"/>
              </w:rPr>
              <w:t>抽查内容</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ascii="黑体" w:hAnsi="黑体" w:eastAsia="黑体" w:cs="宋体"/>
                <w:bCs/>
                <w:kern w:val="0"/>
                <w:sz w:val="21"/>
                <w:szCs w:val="21"/>
              </w:rPr>
            </w:pPr>
            <w:r>
              <w:rPr>
                <w:rFonts w:hint="eastAsia" w:ascii="黑体" w:hAnsi="黑体" w:eastAsia="黑体" w:cs="宋体"/>
                <w:bCs/>
                <w:kern w:val="0"/>
                <w:sz w:val="21"/>
                <w:szCs w:val="21"/>
              </w:rPr>
              <w:t>检查对象</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ascii="黑体" w:hAnsi="黑体" w:eastAsia="黑体" w:cs="宋体"/>
                <w:bCs/>
                <w:kern w:val="0"/>
                <w:sz w:val="21"/>
                <w:szCs w:val="21"/>
              </w:rPr>
            </w:pPr>
            <w:r>
              <w:rPr>
                <w:rFonts w:hint="eastAsia" w:ascii="黑体" w:hAnsi="黑体" w:eastAsia="黑体" w:cs="宋体"/>
                <w:bCs/>
                <w:kern w:val="0"/>
                <w:sz w:val="21"/>
                <w:szCs w:val="21"/>
              </w:rPr>
              <w:t>事项类别</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ascii="黑体" w:hAnsi="黑体" w:eastAsia="黑体" w:cs="宋体"/>
                <w:bCs/>
                <w:kern w:val="0"/>
                <w:sz w:val="21"/>
                <w:szCs w:val="21"/>
              </w:rPr>
            </w:pPr>
            <w:r>
              <w:rPr>
                <w:rFonts w:hint="eastAsia" w:ascii="黑体" w:hAnsi="黑体" w:eastAsia="黑体" w:cs="宋体"/>
                <w:bCs/>
                <w:kern w:val="0"/>
                <w:sz w:val="21"/>
                <w:szCs w:val="21"/>
              </w:rPr>
              <w:t>检查方式</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ascii="黑体" w:hAnsi="黑体" w:eastAsia="黑体" w:cs="宋体"/>
                <w:bCs/>
                <w:kern w:val="0"/>
                <w:sz w:val="21"/>
                <w:szCs w:val="21"/>
              </w:rPr>
            </w:pPr>
            <w:r>
              <w:rPr>
                <w:rFonts w:hint="eastAsia" w:ascii="黑体" w:hAnsi="黑体" w:eastAsia="黑体" w:cs="宋体"/>
                <w:bCs/>
                <w:kern w:val="0"/>
                <w:sz w:val="21"/>
                <w:szCs w:val="21"/>
              </w:rPr>
              <w:t>抽查比例及频次</w:t>
            </w:r>
          </w:p>
        </w:tc>
        <w:tc>
          <w:tcPr>
            <w:tcW w:w="364" w:type="pct"/>
            <w:gridSpan w:val="2"/>
            <w:tcBorders>
              <w:top w:val="nil"/>
              <w:left w:val="nil"/>
              <w:bottom w:val="single" w:color="auto" w:sz="4" w:space="0"/>
              <w:right w:val="single" w:color="auto" w:sz="4" w:space="0"/>
            </w:tcBorders>
            <w:shd w:val="clear" w:color="auto" w:fill="auto"/>
            <w:noWrap w:val="0"/>
            <w:vAlign w:val="center"/>
          </w:tcPr>
          <w:p>
            <w:pPr>
              <w:snapToGrid w:val="0"/>
              <w:jc w:val="center"/>
              <w:rPr>
                <w:rFonts w:ascii="黑体" w:hAnsi="黑体" w:eastAsia="黑体" w:cs="宋体"/>
                <w:bCs/>
                <w:kern w:val="0"/>
                <w:sz w:val="21"/>
                <w:szCs w:val="21"/>
              </w:rPr>
            </w:pPr>
            <w:r>
              <w:rPr>
                <w:rFonts w:hint="eastAsia" w:ascii="黑体" w:hAnsi="黑体" w:eastAsia="黑体" w:cs="宋体"/>
                <w:bCs/>
                <w:kern w:val="0"/>
                <w:sz w:val="21"/>
                <w:szCs w:val="21"/>
              </w:rPr>
              <w:t>检查部门及实施层级</w:t>
            </w:r>
          </w:p>
        </w:tc>
        <w:tc>
          <w:tcPr>
            <w:tcW w:w="986" w:type="pct"/>
            <w:gridSpan w:val="2"/>
            <w:tcBorders>
              <w:top w:val="nil"/>
              <w:left w:val="nil"/>
              <w:bottom w:val="single" w:color="auto" w:sz="4" w:space="0"/>
              <w:right w:val="single" w:color="auto" w:sz="4" w:space="0"/>
            </w:tcBorders>
            <w:shd w:val="clear" w:color="auto" w:fill="auto"/>
            <w:noWrap w:val="0"/>
            <w:vAlign w:val="center"/>
          </w:tcPr>
          <w:p>
            <w:pPr>
              <w:snapToGrid w:val="0"/>
              <w:ind w:right="877" w:rightChars="274"/>
              <w:jc w:val="center"/>
              <w:rPr>
                <w:rFonts w:ascii="黑体" w:hAnsi="黑体" w:eastAsia="黑体" w:cs="宋体"/>
                <w:bCs/>
                <w:kern w:val="0"/>
                <w:sz w:val="21"/>
                <w:szCs w:val="21"/>
              </w:rPr>
            </w:pPr>
            <w:r>
              <w:rPr>
                <w:rFonts w:hint="eastAsia" w:ascii="黑体" w:hAnsi="黑体" w:eastAsia="黑体" w:cs="宋体"/>
                <w:bCs/>
                <w:kern w:val="0"/>
                <w:sz w:val="21"/>
                <w:szCs w:val="21"/>
              </w:rPr>
              <w:t>检查依据</w:t>
            </w:r>
          </w:p>
        </w:tc>
      </w:tr>
      <w:tr>
        <w:tblPrEx>
          <w:tblCellMar>
            <w:top w:w="0" w:type="dxa"/>
            <w:left w:w="108" w:type="dxa"/>
            <w:bottom w:w="0" w:type="dxa"/>
            <w:right w:w="108" w:type="dxa"/>
          </w:tblCellMar>
        </w:tblPrEx>
        <w:trPr>
          <w:trHeight w:val="2002" w:hRule="atLeast"/>
        </w:trPr>
        <w:tc>
          <w:tcPr>
            <w:tcW w:w="176"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8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登记事项检查</w:t>
            </w:r>
          </w:p>
        </w:tc>
        <w:tc>
          <w:tcPr>
            <w:tcW w:w="412"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对市场主体名称等登记事项的检查</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营业执照（登记证）规范使用情况的检查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检查是否将营业执照置于住所或者营业场所醒目位置，营业执照是否存在涂改行为</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企业、个体工商户、农民专业合作社、外国企业常驻代表机构</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现场检查、网络检查</w:t>
            </w:r>
          </w:p>
        </w:tc>
        <w:tc>
          <w:tcPr>
            <w:tcW w:w="42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抽查比例根据监管实际确定，每年1-2次</w:t>
            </w:r>
          </w:p>
        </w:tc>
        <w:tc>
          <w:tcPr>
            <w:tcW w:w="364"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6"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1.《企业法人登记管理条例》第二十九条第一款。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2.《公司登记管理条例》第七十一条、第七十二条。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3.《合伙企业登记管理办法》第四十三条、第四十四条。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4.《外商投资合伙企业登记管理规定》第五十七条、第五十八条。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5.《个人独资企业法》第三十五条。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6.《个人独资企业登记管理办法》第四十条、第四十一条、第四十二条、第四十三条。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7.《个体工商户条例》第二十二条。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8.《农民专业合作社登记管理条例》第二十七条。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9.《外国企业常驻代表机构登记管理条例》第十八条、第十九条、第三十六条第三款、第三十八条。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10.《电子商务法》第十五条。</w:t>
            </w:r>
          </w:p>
        </w:tc>
      </w:tr>
      <w:tr>
        <w:tblPrEx>
          <w:tblCellMar>
            <w:top w:w="0" w:type="dxa"/>
            <w:left w:w="108" w:type="dxa"/>
            <w:bottom w:w="0" w:type="dxa"/>
            <w:right w:w="108" w:type="dxa"/>
          </w:tblCellMar>
        </w:tblPrEx>
        <w:trPr>
          <w:trHeight w:val="803"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469"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名称规范使用情况的检查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检查印章、银行账户、牌匾、信笺等所使用的名称是否与登记注册的名称相同（其中从事商业、公共饮食、服务等行业的企业名称牌匾可适当简化）</w:t>
            </w:r>
          </w:p>
        </w:tc>
        <w:tc>
          <w:tcPr>
            <w:tcW w:w="530"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企业、个体工商户、农民专业合作社、外国企业常驻代表机构</w:t>
            </w:r>
          </w:p>
        </w:tc>
        <w:tc>
          <w:tcPr>
            <w:tcW w:w="305"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网络检查</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p>
        </w:tc>
        <w:tc>
          <w:tcPr>
            <w:tcW w:w="364" w:type="pct"/>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6" w:type="pct"/>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1.《企业名称登记管理规定》第二十六条、二十七条。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2.《个体工商户条例》第二十三条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第一款。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3.《农民专业合作社登记管理条例》第二十七条。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4.《外国企业常驻代表机构登记管理条例》第三十八条。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5.《个人独资企业法》第三十四条。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6.《合伙企业法》第九十四条。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7.《合伙企业登记管理办法》第四十条。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8.《外商投资合伙企业登记管理规定》第五十四条。</w:t>
            </w:r>
          </w:p>
        </w:tc>
      </w:tr>
      <w:tr>
        <w:tblPrEx>
          <w:tblCellMar>
            <w:top w:w="0" w:type="dxa"/>
            <w:left w:w="108" w:type="dxa"/>
            <w:bottom w:w="0" w:type="dxa"/>
            <w:right w:w="108" w:type="dxa"/>
          </w:tblCellMar>
        </w:tblPrEx>
        <w:trPr>
          <w:trHeight w:val="96"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是否存在擅自变更名称的行为</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c>
          <w:tcPr>
            <w:tcW w:w="364"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c>
          <w:tcPr>
            <w:tcW w:w="986"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96"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合伙企业是否在其名称中标明“普通合伙”、“特殊普通合伙”或者“有限合伙”字样</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c>
          <w:tcPr>
            <w:tcW w:w="364"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c>
          <w:tcPr>
            <w:tcW w:w="986"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159"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要求提供银行账户名称情况开展核实</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c>
          <w:tcPr>
            <w:tcW w:w="364"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c>
          <w:tcPr>
            <w:tcW w:w="986"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1941"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经营（驻在）期限的检查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营业执照上载明的经营期限，是否存在超出经营（驻在）期限开展经营活动的行为</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企业、个体工商户、农民专业合作社、外国企业常驻代表机构</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p>
        </w:tc>
        <w:tc>
          <w:tcPr>
            <w:tcW w:w="364"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6"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1.《企业法人登记管理条例》第二十九条第一款。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2.《公司法》第二百一十一条第二款。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3.《公司登记管理条例》第六十八条。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4.《合伙企业法》第九十五条第二款。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5.《合伙企业登记管理办法》第三十九条。</w:t>
            </w:r>
          </w:p>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6.《外商投资合伙企业登记管理规定》第五十三条。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7.《外国企业常驻代表机构登记管理条例》第十六条、第三十五条第二款、第三十八条。</w:t>
            </w:r>
          </w:p>
        </w:tc>
      </w:tr>
      <w:tr>
        <w:tblPrEx>
          <w:tblCellMar>
            <w:top w:w="0" w:type="dxa"/>
            <w:left w:w="108" w:type="dxa"/>
            <w:bottom w:w="0" w:type="dxa"/>
            <w:right w:w="108" w:type="dxa"/>
          </w:tblCellMar>
        </w:tblPrEx>
        <w:trPr>
          <w:trHeight w:val="1425"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24"/>
                <w:szCs w:val="24"/>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经营（业务）范围中无需审批的经营（业务）项目的检查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主营业务范围是否与登记的范围一致，是否存在超出登记的经营（业务）范围开展一般性经营活动的行为</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企业、个体工商户、农民专业合作社、外国企业常驻代表机构</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p>
        </w:tc>
        <w:tc>
          <w:tcPr>
            <w:tcW w:w="364"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6" w:type="pct"/>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1.《企业法人登记管理条例》第二十九条第一款。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2.《公司法》第二百一十一条第二款。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3.《公司登记管理条例》第六十八条。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4.《合伙企业法》第九十五条第二款。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5.《个人独资企业法》第三十七条第二款。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6.《合伙企业登记管理办法》第三十九条。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7.《外商投资合伙企业登记管理规定》第五十三条。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8.《个人独资企业登记管理办法》第三十八条。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9.《个体工商户条例》第二十三条第一款。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10.《农民专业合作社登记管理条例》第二十七条、第二十八条。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11.《外国企业常驻代表机构登记管理条例》第三十五条第二款、第三十七条、第三十八条。</w:t>
            </w:r>
          </w:p>
        </w:tc>
      </w:tr>
      <w:tr>
        <w:tblPrEx>
          <w:tblCellMar>
            <w:top w:w="0" w:type="dxa"/>
            <w:left w:w="108" w:type="dxa"/>
            <w:bottom w:w="0" w:type="dxa"/>
            <w:right w:w="108" w:type="dxa"/>
          </w:tblCellMar>
        </w:tblPrEx>
        <w:trPr>
          <w:trHeight w:val="1958"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住所（经营场所）或驻在场所的检查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登记的住所（经营场所）或驻在场所是否与实际路牌、楼层等情况一致</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企业、个体工商户、农民专业合作社、外国企业常驻代表机构</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4" w:type="pct"/>
            <w:gridSpan w:val="2"/>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6"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2629"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注册资本实缴情况的检查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对属于实缴制行业的企业出资情况进行核查，检查企业提交的验资报告、财务报表、银行进账单等证明材料，排查有无虚假出资、抽逃出资、虚报注册资本等线索</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《国务院关于印发注册资本登记制度改革方案的通知》明确的暂不实行注册资本认缴登记制的行业企业</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4" w:type="pct"/>
            <w:gridSpan w:val="2"/>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6"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1.《企业法人登记管理条例》第二十九条第一款。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2.《公司法》第一百九十八条至第二百条、第二百一十一条第二款。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3.《公司登记管理条例》第六十三条、第六十五条、第六十六条、第六十八条。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4.《合伙企业法》第九十五条第二款。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5.《个人独资企业法》第三十七条第二款。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6.《合伙企业登记管理办法》第三十九条。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7.《外商投资合伙企业登记管理规定》第五十三条。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8.《个人独资企业登记管理办法》第三十八条。</w:t>
            </w:r>
          </w:p>
        </w:tc>
      </w:tr>
      <w:tr>
        <w:tblPrEx>
          <w:tblCellMar>
            <w:top w:w="0" w:type="dxa"/>
            <w:left w:w="108" w:type="dxa"/>
            <w:bottom w:w="0" w:type="dxa"/>
            <w:right w:w="108" w:type="dxa"/>
          </w:tblCellMar>
        </w:tblPrEx>
        <w:trPr>
          <w:trHeight w:val="829"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法定代表人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（负责人）任职情况的检查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企业法定代表人（负责人）是否担任其他被吊销企业的法定代表人</w:t>
            </w:r>
          </w:p>
        </w:tc>
        <w:tc>
          <w:tcPr>
            <w:tcW w:w="530"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w:t>
            </w:r>
          </w:p>
        </w:tc>
        <w:tc>
          <w:tcPr>
            <w:tcW w:w="305"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4" w:type="pct"/>
            <w:gridSpan w:val="2"/>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6" w:type="pct"/>
            <w:gridSpan w:val="2"/>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1.《企业法人登记管理条例》第二十九条第一款。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2.《企业法人法定代表人登记管理规定》第十二条。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3.《公司法》第二百一十一条第二款。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4.《公司登记管理条例》第六十八条。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5.《合伙企业法》第九十五条第二款。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6.《合伙企业登记管理办法》第三十九条。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7.《外商投资合伙企业登记管理规定》第五十三条。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8.《个人独资企业法》第三十七条第二款。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9.《个人独资企业登记管理办法》第三十八条。</w:t>
            </w:r>
          </w:p>
        </w:tc>
      </w:tr>
      <w:tr>
        <w:tblPrEx>
          <w:tblCellMar>
            <w:top w:w="0" w:type="dxa"/>
            <w:left w:w="108" w:type="dxa"/>
            <w:bottom w:w="0" w:type="dxa"/>
            <w:right w:w="108" w:type="dxa"/>
          </w:tblCellMar>
        </w:tblPrEx>
        <w:trPr>
          <w:trHeight w:val="568"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检查法定代表人（负责人、执行事务合伙人）是否变更未登记</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000000"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4" w:type="pct"/>
            <w:gridSpan w:val="2"/>
            <w:vMerge w:val="continue"/>
            <w:tcBorders>
              <w:top w:val="nil"/>
              <w:left w:val="single" w:color="auto" w:sz="4" w:space="0"/>
              <w:bottom w:val="single" w:color="000000"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6" w:type="pct"/>
            <w:gridSpan w:val="2"/>
            <w:vMerge w:val="continue"/>
            <w:tcBorders>
              <w:top w:val="nil"/>
              <w:left w:val="single" w:color="auto" w:sz="4" w:space="0"/>
              <w:bottom w:val="single" w:color="000000"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815"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法定代表人、自然人股东身份真实性的检查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通过到场核实或远程技术手段核实企业法定代表人身份真实性</w:t>
            </w:r>
          </w:p>
        </w:tc>
        <w:tc>
          <w:tcPr>
            <w:tcW w:w="530"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w:t>
            </w:r>
          </w:p>
        </w:tc>
        <w:tc>
          <w:tcPr>
            <w:tcW w:w="305"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4" w:type="pct"/>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6" w:type="pct"/>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1.《公司法》第一百九十八条。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2.《合伙企业法》第九十三条。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3.《个人独资企业法》第三十三条。</w:t>
            </w:r>
          </w:p>
        </w:tc>
      </w:tr>
      <w:tr>
        <w:tblPrEx>
          <w:tblCellMar>
            <w:top w:w="0" w:type="dxa"/>
            <w:left w:w="108" w:type="dxa"/>
            <w:bottom w:w="0" w:type="dxa"/>
            <w:right w:w="108" w:type="dxa"/>
          </w:tblCellMar>
        </w:tblPrEx>
        <w:trPr>
          <w:trHeight w:val="855"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通过电话、视频、函询等方式对其身份和投资情况进行核实自然人股东，排查是否存在身份被冒用的情况</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4"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6"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555" w:hRule="atLeast"/>
        </w:trPr>
        <w:tc>
          <w:tcPr>
            <w:tcW w:w="176"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81"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公示信息检查</w:t>
            </w:r>
          </w:p>
        </w:tc>
        <w:tc>
          <w:tcPr>
            <w:tcW w:w="412" w:type="pct"/>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对企业、个体工商户、农民专业合作社公示信息的监督检查</w:t>
            </w:r>
          </w:p>
        </w:tc>
        <w:tc>
          <w:tcPr>
            <w:tcW w:w="469"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年度报告公示信息的检查</w:t>
            </w:r>
          </w:p>
        </w:tc>
        <w:tc>
          <w:tcPr>
            <w:tcW w:w="703" w:type="pct"/>
            <w:tcBorders>
              <w:top w:val="single" w:color="auto" w:sz="4" w:space="0"/>
              <w:left w:val="nil"/>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通信地址、邮政编码、联系电话、电子邮箱等信息</w:t>
            </w:r>
          </w:p>
        </w:tc>
        <w:tc>
          <w:tcPr>
            <w:tcW w:w="53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企业、个体工商户、农民专业合作社</w:t>
            </w:r>
          </w:p>
        </w:tc>
        <w:tc>
          <w:tcPr>
            <w:tcW w:w="30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现场检查、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书面检查、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网络检查、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专业机构核查</w:t>
            </w:r>
          </w:p>
        </w:tc>
        <w:tc>
          <w:tcPr>
            <w:tcW w:w="42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抽查比例根据监管实际确定，每年1-2次</w:t>
            </w:r>
          </w:p>
        </w:tc>
        <w:tc>
          <w:tcPr>
            <w:tcW w:w="361"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1.《企业信息公示暂行条例》第三条、第八条、第九条、第十一条、第十二条、第十五条、第十七条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2.《企业公示信息抽查暂行办法》第十条、第十二条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3.《企业经营异常名录管理暂行办法》第四条、第六条、第八条、第九条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4.《个体工商户年度报告暂行办法》第六条、第十一条。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5.《农民专业合作社年度报告公示暂行办法》第五条、第八条</w:t>
            </w:r>
          </w:p>
        </w:tc>
      </w:tr>
      <w:tr>
        <w:tblPrEx>
          <w:tblCellMar>
            <w:top w:w="0" w:type="dxa"/>
            <w:left w:w="108" w:type="dxa"/>
            <w:bottom w:w="0" w:type="dxa"/>
            <w:right w:w="108" w:type="dxa"/>
          </w:tblCellMar>
        </w:tblPrEx>
        <w:trPr>
          <w:gridAfter w:val="1"/>
          <w:wAfter w:w="4" w:type="pct"/>
          <w:trHeight w:val="470" w:hRule="atLeast"/>
        </w:trPr>
        <w:tc>
          <w:tcPr>
            <w:tcW w:w="17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412"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开业、歇业、清算等存续状态信息</w:t>
            </w:r>
          </w:p>
        </w:tc>
        <w:tc>
          <w:tcPr>
            <w:tcW w:w="530"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305"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352"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361"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985"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gridAfter w:val="1"/>
          <w:wAfter w:w="4" w:type="pct"/>
          <w:trHeight w:val="386" w:hRule="atLeast"/>
        </w:trPr>
        <w:tc>
          <w:tcPr>
            <w:tcW w:w="17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412"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投资设立企业、购买股权信息</w:t>
            </w:r>
          </w:p>
        </w:tc>
        <w:tc>
          <w:tcPr>
            <w:tcW w:w="530"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305"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352"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361"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985"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gridAfter w:val="1"/>
          <w:wAfter w:w="4" w:type="pct"/>
          <w:trHeight w:val="851" w:hRule="atLeast"/>
        </w:trPr>
        <w:tc>
          <w:tcPr>
            <w:tcW w:w="17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412"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企业为有限责任公司或者股份有限公司的，其股东或者发起人认缴和实缴的出资额、出资时间、出资方式等信息</w:t>
            </w:r>
          </w:p>
        </w:tc>
        <w:tc>
          <w:tcPr>
            <w:tcW w:w="530"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305"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352"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361"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985"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gridAfter w:val="1"/>
          <w:wAfter w:w="4" w:type="pct"/>
          <w:trHeight w:val="561" w:hRule="atLeast"/>
        </w:trPr>
        <w:tc>
          <w:tcPr>
            <w:tcW w:w="17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412"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有限责任公司股东股权转让等股权变更信息</w:t>
            </w:r>
          </w:p>
        </w:tc>
        <w:tc>
          <w:tcPr>
            <w:tcW w:w="530"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305"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352"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361"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985"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gridAfter w:val="1"/>
          <w:wAfter w:w="4" w:type="pct"/>
          <w:trHeight w:val="85" w:hRule="atLeast"/>
        </w:trPr>
        <w:tc>
          <w:tcPr>
            <w:tcW w:w="17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412"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ascii="仿宋_GB2312" w:hAnsi="宋体" w:eastAsia="仿宋_GB2312" w:cs="宋体"/>
                <w:kern w:val="0"/>
                <w:sz w:val="24"/>
                <w:szCs w:val="24"/>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网站以及从事网络经营的网店的名称、网址等信息</w:t>
            </w:r>
          </w:p>
        </w:tc>
        <w:tc>
          <w:tcPr>
            <w:tcW w:w="530"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305"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352"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361"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cs="宋体"/>
                <w:kern w:val="0"/>
                <w:sz w:val="24"/>
                <w:szCs w:val="24"/>
              </w:rPr>
            </w:pPr>
          </w:p>
        </w:tc>
        <w:tc>
          <w:tcPr>
            <w:tcW w:w="985"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gridAfter w:val="1"/>
          <w:wAfter w:w="4" w:type="pct"/>
          <w:trHeight w:val="955" w:hRule="atLeast"/>
        </w:trPr>
        <w:tc>
          <w:tcPr>
            <w:tcW w:w="17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从业人数、资产总额、负债总额、对外提供保证担保、所有者权益合计、营业总收入、主营业务收入、利润总额、净利润、纳税总额信息</w:t>
            </w:r>
          </w:p>
        </w:tc>
        <w:tc>
          <w:tcPr>
            <w:tcW w:w="530"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998" w:hRule="atLeast"/>
        </w:trPr>
        <w:tc>
          <w:tcPr>
            <w:tcW w:w="17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即时公示信息的检查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有限责任公司股东或者股份有限公司发起人认缴和实缴的出资额、出资时间、出资方式等信息</w:t>
            </w:r>
          </w:p>
        </w:tc>
        <w:tc>
          <w:tcPr>
            <w:tcW w:w="530"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w:t>
            </w:r>
          </w:p>
        </w:tc>
        <w:tc>
          <w:tcPr>
            <w:tcW w:w="305"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书面检查、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网络检查、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专业机构核查</w:t>
            </w:r>
          </w:p>
        </w:tc>
        <w:tc>
          <w:tcPr>
            <w:tcW w:w="42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抽查比例根据监管实际确定，每年1-2次</w:t>
            </w:r>
          </w:p>
        </w:tc>
        <w:tc>
          <w:tcPr>
            <w:tcW w:w="36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1.《企业信息公示暂行条例》第三条、第十条、第十一条、第十二条、第十五条、第十七条。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2.《企业公示信息抽查暂行办法》第十条、第十二条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3.《企业经营异常名录管理暂行办法》第四条、第七条、第八条、第九条。</w:t>
            </w:r>
          </w:p>
        </w:tc>
      </w:tr>
      <w:tr>
        <w:tblPrEx>
          <w:tblCellMar>
            <w:top w:w="0" w:type="dxa"/>
            <w:left w:w="108" w:type="dxa"/>
            <w:bottom w:w="0" w:type="dxa"/>
            <w:right w:w="108" w:type="dxa"/>
          </w:tblCellMar>
        </w:tblPrEx>
        <w:trPr>
          <w:gridAfter w:val="1"/>
          <w:wAfter w:w="4" w:type="pct"/>
          <w:trHeight w:val="437" w:hRule="atLeast"/>
        </w:trPr>
        <w:tc>
          <w:tcPr>
            <w:tcW w:w="17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有限责任公司股东股权转让等股权变更信息</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559" w:hRule="atLeast"/>
        </w:trPr>
        <w:tc>
          <w:tcPr>
            <w:tcW w:w="17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行政许可取得、变更、延续信息</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271" w:hRule="atLeast"/>
        </w:trPr>
        <w:tc>
          <w:tcPr>
            <w:tcW w:w="17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知识产权出质登记信息</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289" w:hRule="atLeast"/>
        </w:trPr>
        <w:tc>
          <w:tcPr>
            <w:tcW w:w="17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受到行政处罚的信息</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279" w:hRule="atLeast"/>
        </w:trPr>
        <w:tc>
          <w:tcPr>
            <w:tcW w:w="176"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其他依法应当公示的信息</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1438" w:hRule="atLeast"/>
        </w:trPr>
        <w:tc>
          <w:tcPr>
            <w:tcW w:w="176" w:type="pct"/>
            <w:tcBorders>
              <w:top w:val="nil"/>
              <w:left w:val="single" w:color="auto" w:sz="4" w:space="0"/>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81" w:type="pct"/>
            <w:vMerge w:val="restart"/>
            <w:tcBorders>
              <w:top w:val="nil"/>
              <w:left w:val="single" w:color="auto" w:sz="4" w:space="0"/>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价格收费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行为检查</w:t>
            </w:r>
          </w:p>
        </w:tc>
        <w:tc>
          <w:tcPr>
            <w:tcW w:w="412"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对价格行为的监督检查</w:t>
            </w:r>
          </w:p>
        </w:tc>
        <w:tc>
          <w:tcPr>
            <w:tcW w:w="469"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对经营者价格行为的监督检查</w:t>
            </w:r>
          </w:p>
        </w:tc>
        <w:tc>
          <w:tcPr>
            <w:tcW w:w="703" w:type="pct"/>
            <w:tcBorders>
              <w:top w:val="nil"/>
              <w:left w:val="nil"/>
              <w:bottom w:val="single" w:color="auto" w:sz="4" w:space="0"/>
              <w:right w:val="single" w:color="auto" w:sz="4" w:space="0"/>
            </w:tcBorders>
            <w:shd w:val="clear" w:color="000000" w:fill="FFFFFF"/>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检查是否存在下列行为：不执行政府定价、政府指导价的行为；不执行法定价格紧急措施、价格干预措施的行为；不正当价格违法行为；不按规定明码标价的行为等</w:t>
            </w:r>
          </w:p>
        </w:tc>
        <w:tc>
          <w:tcPr>
            <w:tcW w:w="530"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经营者</w:t>
            </w:r>
          </w:p>
        </w:tc>
        <w:tc>
          <w:tcPr>
            <w:tcW w:w="305"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restart"/>
            <w:tcBorders>
              <w:top w:val="nil"/>
              <w:left w:val="single" w:color="auto" w:sz="4" w:space="0"/>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抽查比例不低于5%，每年1次</w:t>
            </w:r>
          </w:p>
        </w:tc>
        <w:tc>
          <w:tcPr>
            <w:tcW w:w="361"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000000" w:fill="FFFFFF"/>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1.《价格法》第十二至十四条、第三十九条、第四十条、四十二条。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2.《价格违法行为行政处罚规定》第四条至十三条。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3.《山东省服务价格管理办法》第十四条第三款、第二十一条第二款。</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4.《山东省物业服务收费管理办法》第四十五至第四十九条。</w:t>
            </w:r>
          </w:p>
        </w:tc>
      </w:tr>
      <w:tr>
        <w:tblPrEx>
          <w:tblCellMar>
            <w:top w:w="0" w:type="dxa"/>
            <w:left w:w="108" w:type="dxa"/>
            <w:bottom w:w="0" w:type="dxa"/>
            <w:right w:w="108" w:type="dxa"/>
          </w:tblCellMar>
        </w:tblPrEx>
        <w:trPr>
          <w:gridAfter w:val="1"/>
          <w:wAfter w:w="4" w:type="pct"/>
          <w:trHeight w:val="1298" w:hRule="atLeast"/>
        </w:trPr>
        <w:tc>
          <w:tcPr>
            <w:tcW w:w="176" w:type="pct"/>
            <w:tcBorders>
              <w:top w:val="nil"/>
              <w:left w:val="single" w:color="auto" w:sz="4" w:space="0"/>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对行政性、事业性收费的监督检查</w:t>
            </w:r>
          </w:p>
        </w:tc>
        <w:tc>
          <w:tcPr>
            <w:tcW w:w="469"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对国家行政机关、国家授权行使行政职能的单位、事业单位收费情况的检查</w:t>
            </w:r>
          </w:p>
        </w:tc>
        <w:tc>
          <w:tcPr>
            <w:tcW w:w="703" w:type="pct"/>
            <w:tcBorders>
              <w:top w:val="nil"/>
              <w:left w:val="nil"/>
              <w:bottom w:val="single" w:color="auto" w:sz="4" w:space="0"/>
              <w:right w:val="single" w:color="auto" w:sz="4" w:space="0"/>
            </w:tcBorders>
            <w:shd w:val="clear" w:color="000000" w:fill="FFFFFF"/>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检查是否存在下列行为：超越管理权限设立收费项目或制定收费标准的；超出规定的收费范围，擅自增加收费项目、提高收费标准的；不实施管理行为或不提供服务而收费的；未按规定要求公布收费项目和收费标准等</w:t>
            </w:r>
          </w:p>
        </w:tc>
        <w:tc>
          <w:tcPr>
            <w:tcW w:w="530"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国家行政机关、国家授权行使行政职能的单位、事业单位</w:t>
            </w:r>
          </w:p>
        </w:tc>
        <w:tc>
          <w:tcPr>
            <w:tcW w:w="305"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1"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000000" w:fill="FFFFFF"/>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《山东省行政性事业性收费管理条例》第十九条、第二十条。</w:t>
            </w:r>
          </w:p>
        </w:tc>
      </w:tr>
      <w:tr>
        <w:tblPrEx>
          <w:tblCellMar>
            <w:top w:w="0" w:type="dxa"/>
            <w:left w:w="108" w:type="dxa"/>
            <w:bottom w:w="0" w:type="dxa"/>
            <w:right w:w="108" w:type="dxa"/>
          </w:tblCellMar>
        </w:tblPrEx>
        <w:trPr>
          <w:gridAfter w:val="1"/>
          <w:wAfter w:w="4" w:type="pct"/>
          <w:trHeight w:val="1898" w:hRule="atLeast"/>
        </w:trPr>
        <w:tc>
          <w:tcPr>
            <w:tcW w:w="176" w:type="pct"/>
            <w:tcBorders>
              <w:top w:val="nil"/>
              <w:left w:val="single" w:color="auto" w:sz="4" w:space="0"/>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81"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直销行为检查</w:t>
            </w:r>
          </w:p>
        </w:tc>
        <w:tc>
          <w:tcPr>
            <w:tcW w:w="412"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对直销活动的监督检查</w:t>
            </w:r>
          </w:p>
        </w:tc>
        <w:tc>
          <w:tcPr>
            <w:tcW w:w="469"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对直销企业及其直销活动的监督检查</w:t>
            </w:r>
          </w:p>
        </w:tc>
        <w:tc>
          <w:tcPr>
            <w:tcW w:w="703" w:type="pct"/>
            <w:tcBorders>
              <w:top w:val="nil"/>
              <w:left w:val="nil"/>
              <w:bottom w:val="single" w:color="auto" w:sz="4" w:space="0"/>
              <w:right w:val="single" w:color="auto" w:sz="4" w:space="0"/>
            </w:tcBorders>
            <w:shd w:val="clear" w:color="000000" w:fill="FFFFFF"/>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检查是否存在下列行为：重大变更情况未经国务院商务主管部门批准；未按月支付直销员报酬，支付给直销员的报酬未按照直销员本人直接向消费者销售产品的收入计算，直销员报酬总额超过直销员本人直接向消费者销售产品收入的30％；未建立完备的信息报备和披露制度，未按照有关法规、规章要求报备和披露信息</w:t>
            </w:r>
          </w:p>
        </w:tc>
        <w:tc>
          <w:tcPr>
            <w:tcW w:w="530"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省内注册的直销企业总公司</w:t>
            </w:r>
          </w:p>
        </w:tc>
        <w:tc>
          <w:tcPr>
            <w:tcW w:w="305"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书面检查、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网络检查等</w:t>
            </w:r>
          </w:p>
        </w:tc>
        <w:tc>
          <w:tcPr>
            <w:tcW w:w="422"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抽查比例不低于20%，每年1次</w:t>
            </w:r>
          </w:p>
        </w:tc>
        <w:tc>
          <w:tcPr>
            <w:tcW w:w="361"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000000" w:fill="FFFFFF"/>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1.《直销管理条例》第七条、第八条、第十一条、第二十四条、第二十八条、第四十一条、第四十九条、第五十条。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2.《直销企业信息报备、披露管理办法》第四条、第五条、第六条。</w:t>
            </w:r>
          </w:p>
        </w:tc>
      </w:tr>
      <w:tr>
        <w:tblPrEx>
          <w:tblCellMar>
            <w:top w:w="0" w:type="dxa"/>
            <w:left w:w="108" w:type="dxa"/>
            <w:bottom w:w="0" w:type="dxa"/>
            <w:right w:w="108" w:type="dxa"/>
          </w:tblCellMar>
        </w:tblPrEx>
        <w:trPr>
          <w:gridAfter w:val="1"/>
          <w:wAfter w:w="4" w:type="pct"/>
          <w:trHeight w:val="883" w:hRule="atLeast"/>
        </w:trPr>
        <w:tc>
          <w:tcPr>
            <w:tcW w:w="176" w:type="pct"/>
            <w:tcBorders>
              <w:top w:val="nil"/>
              <w:left w:val="single" w:color="auto" w:sz="4" w:space="0"/>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281"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对粮食经营活动中的价格违法行为的监督检查</w:t>
            </w:r>
          </w:p>
        </w:tc>
        <w:tc>
          <w:tcPr>
            <w:tcW w:w="412"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对粮食经营活动中的价格违法行为的监督检查</w:t>
            </w:r>
          </w:p>
        </w:tc>
        <w:tc>
          <w:tcPr>
            <w:tcW w:w="469"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对粮食经营者价格违法行为的检查</w:t>
            </w:r>
          </w:p>
        </w:tc>
        <w:tc>
          <w:tcPr>
            <w:tcW w:w="703" w:type="pct"/>
            <w:tcBorders>
              <w:top w:val="nil"/>
              <w:left w:val="nil"/>
              <w:bottom w:val="single" w:color="auto" w:sz="4" w:space="0"/>
              <w:right w:val="single" w:color="auto" w:sz="4" w:space="0"/>
            </w:tcBorders>
            <w:shd w:val="clear" w:color="000000" w:fill="FFFFFF"/>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检查是否存在压级压价、抬级抬价；不执行最低收购价政策；不按规定明码标价的行为。</w:t>
            </w:r>
          </w:p>
        </w:tc>
        <w:tc>
          <w:tcPr>
            <w:tcW w:w="530"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国有粮食企业和基层粮库</w:t>
            </w:r>
          </w:p>
        </w:tc>
        <w:tc>
          <w:tcPr>
            <w:tcW w:w="305"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抽查比例不低于5%，每年1次</w:t>
            </w:r>
          </w:p>
        </w:tc>
        <w:tc>
          <w:tcPr>
            <w:tcW w:w="361"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000000" w:fill="FFFFFF"/>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1.《价格法》第十三条、第十四条、第四十条、四十二条。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2.《价格违法行为行政处罚规定》第八条、第十条、第十一条、第十三条。</w:t>
            </w:r>
          </w:p>
        </w:tc>
      </w:tr>
      <w:tr>
        <w:tblPrEx>
          <w:tblCellMar>
            <w:top w:w="0" w:type="dxa"/>
            <w:left w:w="108" w:type="dxa"/>
            <w:bottom w:w="0" w:type="dxa"/>
            <w:right w:w="108" w:type="dxa"/>
          </w:tblCellMar>
        </w:tblPrEx>
        <w:trPr>
          <w:gridAfter w:val="1"/>
          <w:wAfter w:w="4" w:type="pct"/>
          <w:trHeight w:val="848" w:hRule="atLeast"/>
        </w:trPr>
        <w:tc>
          <w:tcPr>
            <w:tcW w:w="176" w:type="pct"/>
            <w:tcBorders>
              <w:top w:val="nil"/>
              <w:left w:val="single" w:color="auto" w:sz="4" w:space="0"/>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81"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对商品零售场所塑料购物袋有偿使用过程中的经营行为的监督</w:t>
            </w:r>
          </w:p>
        </w:tc>
        <w:tc>
          <w:tcPr>
            <w:tcW w:w="412"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对商品零售场所塑料购物袋有偿使用过程中的经营行为的监督</w:t>
            </w:r>
          </w:p>
        </w:tc>
        <w:tc>
          <w:tcPr>
            <w:tcW w:w="469"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对零售场所经营者有偿使用塑料袋经营行为的检查</w:t>
            </w:r>
          </w:p>
        </w:tc>
        <w:tc>
          <w:tcPr>
            <w:tcW w:w="703" w:type="pct"/>
            <w:tcBorders>
              <w:top w:val="nil"/>
              <w:left w:val="nil"/>
              <w:bottom w:val="single" w:color="auto" w:sz="4" w:space="0"/>
              <w:right w:val="single" w:color="auto" w:sz="4" w:space="0"/>
            </w:tcBorders>
            <w:shd w:val="clear" w:color="000000" w:fill="FFFFFF"/>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检查是否低于经营成本销售塑料购物袋；是否不标明价格或不按规定的内容方式标明价格销售塑料购物袋；是否采取打折或其他方式不按标示的价格向消费者销售塑料购物袋；是否向消费者无偿或变相无偿提供塑料购物袋；是否在销售凭证上单独列示消费者购买塑料购物袋的数量、单价和款项；是否销售不符合国家相关标准的塑料购物袋；是否按照《商品零售场所塑料购物袋有偿使用管理办法》第八条规定，索取相关证照，建立塑料购物袋购销台账。</w:t>
            </w:r>
          </w:p>
        </w:tc>
        <w:tc>
          <w:tcPr>
            <w:tcW w:w="530"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大型商场、超市经营者</w:t>
            </w:r>
          </w:p>
        </w:tc>
        <w:tc>
          <w:tcPr>
            <w:tcW w:w="305"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抽查比例不低于1%，每年1次</w:t>
            </w:r>
          </w:p>
        </w:tc>
        <w:tc>
          <w:tcPr>
            <w:tcW w:w="361" w:type="pct"/>
            <w:tcBorders>
              <w:top w:val="nil"/>
              <w:left w:val="nil"/>
              <w:bottom w:val="single" w:color="auto" w:sz="4" w:space="0"/>
              <w:right w:val="single" w:color="auto" w:sz="4" w:space="0"/>
            </w:tcBorders>
            <w:shd w:val="clear" w:color="000000" w:fill="FFFFFF"/>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000000" w:fill="FFFFFF"/>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《商品零售场所塑料购物袋有偿使用管理办法》第六条至第九条、第十四条至第十八条。</w:t>
            </w:r>
          </w:p>
        </w:tc>
      </w:tr>
      <w:tr>
        <w:tblPrEx>
          <w:tblCellMar>
            <w:top w:w="0" w:type="dxa"/>
            <w:left w:w="108" w:type="dxa"/>
            <w:bottom w:w="0" w:type="dxa"/>
            <w:right w:w="108" w:type="dxa"/>
          </w:tblCellMar>
        </w:tblPrEx>
        <w:trPr>
          <w:gridAfter w:val="1"/>
          <w:wAfter w:w="4" w:type="pct"/>
          <w:trHeight w:val="887" w:hRule="atLeast"/>
        </w:trPr>
        <w:tc>
          <w:tcPr>
            <w:tcW w:w="176" w:type="pc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8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电子商务经营行为监督检查</w:t>
            </w:r>
          </w:p>
        </w:tc>
        <w:tc>
          <w:tcPr>
            <w:tcW w:w="41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对网络商品交易及有关服务的监督</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对电子商务平台经营者履行主体责任的检查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电子商务平台经营者履行主体责任</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电子商务平台经营者</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书面检查、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网络检查、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专业机构核查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抽查比例为100%，每年1次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《电子商务法》第二十七条、第三十一条、第三十二条、第三十三条、第三十四条、第三十六条、第三十七条、第三十九条、第四十条。</w:t>
            </w:r>
          </w:p>
        </w:tc>
      </w:tr>
      <w:tr>
        <w:tblPrEx>
          <w:tblCellMar>
            <w:top w:w="0" w:type="dxa"/>
            <w:left w:w="108" w:type="dxa"/>
            <w:bottom w:w="0" w:type="dxa"/>
            <w:right w:w="108" w:type="dxa"/>
          </w:tblCellMar>
        </w:tblPrEx>
        <w:trPr>
          <w:gridAfter w:val="1"/>
          <w:wAfter w:w="4" w:type="pct"/>
          <w:trHeight w:val="844" w:hRule="atLeast"/>
        </w:trPr>
        <w:tc>
          <w:tcPr>
            <w:tcW w:w="176"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28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拍卖等重要领域市场规范管理检查</w:t>
            </w:r>
          </w:p>
        </w:tc>
        <w:tc>
          <w:tcPr>
            <w:tcW w:w="412"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对拍卖活动的监督</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拍卖活动经营资格的检查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拍卖活动经营资格</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企业、个体工商户</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抽查比例为100%，每年1次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1.《拍卖法》第十一条、第六十条。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2.《拍卖监督管理办法》第四条、第十一条。</w:t>
            </w:r>
          </w:p>
        </w:tc>
      </w:tr>
      <w:tr>
        <w:tblPrEx>
          <w:tblCellMar>
            <w:top w:w="0" w:type="dxa"/>
            <w:left w:w="108" w:type="dxa"/>
            <w:bottom w:w="0" w:type="dxa"/>
            <w:right w:w="108" w:type="dxa"/>
          </w:tblCellMar>
        </w:tblPrEx>
        <w:trPr>
          <w:gridAfter w:val="1"/>
          <w:wAfter w:w="4" w:type="pct"/>
          <w:trHeight w:val="857"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文物经营活动经营资格的检查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文物经营活动经营资格</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企业、个体工商户</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抽查比例为100%，每年1次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《文物保护法》第五十三条、第五十四条、第七十二条以及第七十三条第一项、第二项。</w:t>
            </w:r>
          </w:p>
        </w:tc>
      </w:tr>
      <w:tr>
        <w:tblPrEx>
          <w:tblCellMar>
            <w:top w:w="0" w:type="dxa"/>
            <w:left w:w="108" w:type="dxa"/>
            <w:bottom w:w="0" w:type="dxa"/>
            <w:right w:w="108" w:type="dxa"/>
          </w:tblCellMar>
        </w:tblPrEx>
        <w:trPr>
          <w:gridAfter w:val="1"/>
          <w:wAfter w:w="4" w:type="pct"/>
          <w:trHeight w:val="848"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为非法交易野生动物等违法行为提供交易服务的检查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商品交易市场、网络交易平台为非法交易野生动物等违法行为提供交易服务</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企业、个体工商户</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抽查比例为50%，每年1次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《野生动物保护法》第三十二条、第五十一条。</w:t>
            </w:r>
          </w:p>
        </w:tc>
      </w:tr>
      <w:tr>
        <w:tblPrEx>
          <w:tblCellMar>
            <w:top w:w="0" w:type="dxa"/>
            <w:left w:w="108" w:type="dxa"/>
            <w:bottom w:w="0" w:type="dxa"/>
            <w:right w:w="108" w:type="dxa"/>
          </w:tblCellMar>
        </w:tblPrEx>
        <w:trPr>
          <w:gridAfter w:val="1"/>
          <w:wAfter w:w="4" w:type="pct"/>
          <w:trHeight w:val="586" w:hRule="atLeast"/>
        </w:trPr>
        <w:tc>
          <w:tcPr>
            <w:tcW w:w="176" w:type="pc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28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对二手车市场的监督</w:t>
            </w:r>
          </w:p>
        </w:tc>
        <w:tc>
          <w:tcPr>
            <w:tcW w:w="41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对二手车市场的监督</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对二手车拍卖活动经营资格及相关拍卖行为的检查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二手车拍卖活动经营资格及相关拍卖行为</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企业、个体工商户</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抽查比例为10%，每年1次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1.《拍卖法》第十一条、第六十条。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2.《拍卖监督管理办法》第四条、第十一条。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3.《二手车流通管理办法》第七条、第三十二条。</w:t>
            </w:r>
          </w:p>
        </w:tc>
      </w:tr>
      <w:tr>
        <w:tblPrEx>
          <w:tblCellMar>
            <w:top w:w="0" w:type="dxa"/>
            <w:left w:w="108" w:type="dxa"/>
            <w:bottom w:w="0" w:type="dxa"/>
            <w:right w:w="108" w:type="dxa"/>
          </w:tblCellMar>
        </w:tblPrEx>
        <w:trPr>
          <w:gridAfter w:val="1"/>
          <w:wAfter w:w="4" w:type="pct"/>
          <w:trHeight w:val="738" w:hRule="atLeast"/>
        </w:trPr>
        <w:tc>
          <w:tcPr>
            <w:tcW w:w="176" w:type="pc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w:t>
            </w:r>
          </w:p>
        </w:tc>
        <w:tc>
          <w:tcPr>
            <w:tcW w:w="28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对相关旅游经营行为的监督检查</w:t>
            </w:r>
          </w:p>
        </w:tc>
        <w:tc>
          <w:tcPr>
            <w:tcW w:w="41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对相关旅游经营行为的监督检查</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对旅行社相关旅游经营行为的检查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旅行社相关旅游经营行为</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企业、个体工商户</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抽查比例为5%，每年1次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1、《旅行社条例》第三条、第四十一条、第五十九条、第六十一条。</w:t>
            </w:r>
          </w:p>
        </w:tc>
      </w:tr>
      <w:tr>
        <w:tblPrEx>
          <w:tblCellMar>
            <w:top w:w="0" w:type="dxa"/>
            <w:left w:w="108" w:type="dxa"/>
            <w:bottom w:w="0" w:type="dxa"/>
            <w:right w:w="108" w:type="dxa"/>
          </w:tblCellMar>
        </w:tblPrEx>
        <w:trPr>
          <w:gridAfter w:val="1"/>
          <w:wAfter w:w="4" w:type="pct"/>
          <w:trHeight w:val="863" w:hRule="atLeast"/>
        </w:trPr>
        <w:tc>
          <w:tcPr>
            <w:tcW w:w="176" w:type="pc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28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对合同行为的监督</w:t>
            </w:r>
          </w:p>
        </w:tc>
        <w:tc>
          <w:tcPr>
            <w:tcW w:w="41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对合同行为的监督</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对利用合同不公平格式条款侵害消费者权益行为的检查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利用合同不公平格式条款侵害消费者权益行为</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企业、个体工商户</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抽查比例为5%，每年1次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《合同违法行为监督处理办法》第五条、第九条、第十条、第十一条、第十二条。</w:t>
            </w:r>
          </w:p>
        </w:tc>
      </w:tr>
      <w:tr>
        <w:tblPrEx>
          <w:tblCellMar>
            <w:top w:w="0" w:type="dxa"/>
            <w:left w:w="108" w:type="dxa"/>
            <w:bottom w:w="0" w:type="dxa"/>
            <w:right w:w="108" w:type="dxa"/>
          </w:tblCellMar>
        </w:tblPrEx>
        <w:trPr>
          <w:gridAfter w:val="1"/>
          <w:wAfter w:w="4" w:type="pct"/>
          <w:trHeight w:val="559" w:hRule="atLeast"/>
        </w:trPr>
        <w:tc>
          <w:tcPr>
            <w:tcW w:w="176" w:type="pc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13</w:t>
            </w:r>
          </w:p>
        </w:tc>
        <w:tc>
          <w:tcPr>
            <w:tcW w:w="28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对农产品批发市场的监督</w:t>
            </w:r>
          </w:p>
        </w:tc>
        <w:tc>
          <w:tcPr>
            <w:tcW w:w="41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对农产品批发市场的监督</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对农产品批发市场的监督</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对农产品批发市场的检查</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农产品批发市场</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抽查比例为5%，每年1次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《农业法》第二十七条。</w:t>
            </w:r>
          </w:p>
        </w:tc>
      </w:tr>
      <w:tr>
        <w:tblPrEx>
          <w:tblCellMar>
            <w:top w:w="0" w:type="dxa"/>
            <w:left w:w="108" w:type="dxa"/>
            <w:bottom w:w="0" w:type="dxa"/>
            <w:right w:w="108" w:type="dxa"/>
          </w:tblCellMar>
        </w:tblPrEx>
        <w:trPr>
          <w:gridAfter w:val="1"/>
          <w:wAfter w:w="4" w:type="pct"/>
          <w:trHeight w:val="712" w:hRule="atLeast"/>
        </w:trPr>
        <w:tc>
          <w:tcPr>
            <w:tcW w:w="176"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14</w:t>
            </w:r>
          </w:p>
        </w:tc>
        <w:tc>
          <w:tcPr>
            <w:tcW w:w="28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对广告的监督检查</w:t>
            </w:r>
          </w:p>
        </w:tc>
        <w:tc>
          <w:tcPr>
            <w:tcW w:w="412"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对广告的监督检查</w:t>
            </w:r>
          </w:p>
        </w:tc>
        <w:tc>
          <w:tcPr>
            <w:tcW w:w="469"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广告经营者、广告发布者建立、健全广告业务的承接登记、审核、档案管理制度情况的检</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是否建立承接登记、审核、档案管理制度</w:t>
            </w:r>
          </w:p>
        </w:tc>
        <w:tc>
          <w:tcPr>
            <w:tcW w:w="530"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企业、个体工商户、农民专业合作社</w:t>
            </w:r>
          </w:p>
        </w:tc>
        <w:tc>
          <w:tcPr>
            <w:tcW w:w="305"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1.抽查比例参照年报信息公示抽查比例确定；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2.抽查频次原则上每年1次，可根据工作实际确定</w:t>
            </w:r>
          </w:p>
        </w:tc>
        <w:tc>
          <w:tcPr>
            <w:tcW w:w="36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《广告法》第六条、第三十四条。</w:t>
            </w:r>
          </w:p>
        </w:tc>
      </w:tr>
      <w:tr>
        <w:tblPrEx>
          <w:tblCellMar>
            <w:top w:w="0" w:type="dxa"/>
            <w:left w:w="108" w:type="dxa"/>
            <w:bottom w:w="0" w:type="dxa"/>
            <w:right w:w="108" w:type="dxa"/>
          </w:tblCellMar>
        </w:tblPrEx>
        <w:trPr>
          <w:gridAfter w:val="1"/>
          <w:wAfter w:w="4" w:type="pct"/>
          <w:trHeight w:val="562"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是否按要求保存广告业务档案</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580"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是否收取核对证明广告内容真实性、合法性的相关材料</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556"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是否收取核对医疗、药品、保健食品、医疗器械、农药兽药广告审查批准文件</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85"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广告业务审核手续是否齐备</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555"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药品、医疗器械、保健食品、特殊医学用途配方食品广告主发布相关广告的审查批准情况的检查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广告主发布相关广告是否取得广告审查批准文件或者文号</w:t>
            </w:r>
          </w:p>
        </w:tc>
        <w:tc>
          <w:tcPr>
            <w:tcW w:w="530"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企业、个体工商户、农民专业合作社</w:t>
            </w:r>
          </w:p>
        </w:tc>
        <w:tc>
          <w:tcPr>
            <w:tcW w:w="305"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1.抽查比例参照年报信息公示抽查比例确定；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2.抽查频次原则上每年1次，可根据工作实际确定</w:t>
            </w:r>
          </w:p>
        </w:tc>
        <w:tc>
          <w:tcPr>
            <w:tcW w:w="36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1.《广告法》第四十六条。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2.《食品安全法》第七十九条、八十条。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3.《药品管理法》第八十九条。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4.《医疗器械监督管理条例》第六十条。</w:t>
            </w:r>
          </w:p>
        </w:tc>
      </w:tr>
      <w:tr>
        <w:tblPrEx>
          <w:tblCellMar>
            <w:top w:w="0" w:type="dxa"/>
            <w:left w:w="108" w:type="dxa"/>
            <w:bottom w:w="0" w:type="dxa"/>
            <w:right w:w="108" w:type="dxa"/>
          </w:tblCellMar>
        </w:tblPrEx>
        <w:trPr>
          <w:gridAfter w:val="1"/>
          <w:wAfter w:w="4" w:type="pct"/>
          <w:trHeight w:val="1206"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发布相关广告的内容是否与广告审查批准的文件相一致</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1033" w:hRule="atLeast"/>
        </w:trPr>
        <w:tc>
          <w:tcPr>
            <w:tcW w:w="176" w:type="pc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28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产品质量安全监督管理</w:t>
            </w:r>
          </w:p>
        </w:tc>
        <w:tc>
          <w:tcPr>
            <w:tcW w:w="41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对产品质量的监督抽查</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生产领域产品质量监督抽查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各产品质量监督抽查实施细则检测项目</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生产企业</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抽样检验</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省级为所抽产品企业数的2%左右；抽查频次原则上每年1次，可根据工作实际确定</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1.《产品质量法》第十五条。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2.《产品质量监督抽查管理暂行办法》第二条、第五条、第十二条。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3.《食品安全法》第一百一十条。</w:t>
            </w:r>
          </w:p>
        </w:tc>
      </w:tr>
      <w:tr>
        <w:tblPrEx>
          <w:tblCellMar>
            <w:top w:w="0" w:type="dxa"/>
            <w:left w:w="108" w:type="dxa"/>
            <w:bottom w:w="0" w:type="dxa"/>
            <w:right w:w="108" w:type="dxa"/>
          </w:tblCellMar>
        </w:tblPrEx>
        <w:trPr>
          <w:gridAfter w:val="1"/>
          <w:wAfter w:w="4" w:type="pct"/>
          <w:trHeight w:val="789" w:hRule="atLeast"/>
        </w:trPr>
        <w:tc>
          <w:tcPr>
            <w:tcW w:w="176"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16</w:t>
            </w: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对工业产品生产许可证产品生产企业的监督检查</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工业产品生产许可获证企业监督检查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取得生产许可的企业是否持续保持取得生产许可的规定条件</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工业产品获证生产企业</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企业抽查比例为20%以上(含20%）；抽查频次原则上每年1次，可根据工作实际确定</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1.《工业产品生产许可证管理条例》第三十九条。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2.《产品质量法》第十五条。</w:t>
            </w:r>
          </w:p>
        </w:tc>
      </w:tr>
      <w:tr>
        <w:tblPrEx>
          <w:tblCellMar>
            <w:top w:w="0" w:type="dxa"/>
            <w:left w:w="108" w:type="dxa"/>
            <w:bottom w:w="0" w:type="dxa"/>
            <w:right w:w="108" w:type="dxa"/>
          </w:tblCellMar>
        </w:tblPrEx>
        <w:trPr>
          <w:gridAfter w:val="1"/>
          <w:wAfter w:w="4" w:type="pct"/>
          <w:trHeight w:val="1136" w:hRule="atLeast"/>
        </w:trPr>
        <w:tc>
          <w:tcPr>
            <w:tcW w:w="176"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食品相关产品质量安全监督检查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取得生产许可的企业是否持续保持取得生产许可的规定条件</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食品相关产品获证企业</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企业抽查比例为20%以上(含20%）；抽查频次原则上每年1次，可根据工作实际确定</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1.《食品安全法》第四十一条、第一百一十条。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2.《工业产品生产许可证管理条例》第三十九条。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3.《产品质量法》第十五条。</w:t>
            </w:r>
          </w:p>
        </w:tc>
      </w:tr>
      <w:tr>
        <w:tblPrEx>
          <w:tblCellMar>
            <w:top w:w="0" w:type="dxa"/>
            <w:left w:w="108" w:type="dxa"/>
            <w:bottom w:w="0" w:type="dxa"/>
            <w:right w:w="108" w:type="dxa"/>
          </w:tblCellMar>
        </w:tblPrEx>
        <w:trPr>
          <w:gridAfter w:val="1"/>
          <w:wAfter w:w="4" w:type="pct"/>
          <w:trHeight w:val="848" w:hRule="atLeast"/>
        </w:trPr>
        <w:tc>
          <w:tcPr>
            <w:tcW w:w="176" w:type="pc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17</w:t>
            </w: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对棉花、茧丝、毛绒、麻类纤维及纤维制品实施监督检查</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棉花等纤维质量监督检查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棉花质量、数量和包装是否符合国家标准；棉花标识以及质量凭证是否与实物相符</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棉花等纤维收购、加工、销售、承储企业</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企业抽查比例为20%以上(含20%）；抽查频次原则上每年1次，可根据工作实际确定</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《棉花质量监督管理条例》第十九条。</w:t>
            </w:r>
          </w:p>
        </w:tc>
      </w:tr>
      <w:tr>
        <w:tblPrEx>
          <w:tblCellMar>
            <w:top w:w="0" w:type="dxa"/>
            <w:left w:w="108" w:type="dxa"/>
            <w:bottom w:w="0" w:type="dxa"/>
            <w:right w:w="108" w:type="dxa"/>
          </w:tblCellMar>
        </w:tblPrEx>
        <w:trPr>
          <w:gridAfter w:val="1"/>
          <w:wAfter w:w="4" w:type="pct"/>
          <w:trHeight w:val="604" w:hRule="atLeast"/>
        </w:trPr>
        <w:tc>
          <w:tcPr>
            <w:tcW w:w="176"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281"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对食品安全的监督检查</w:t>
            </w:r>
          </w:p>
        </w:tc>
        <w:tc>
          <w:tcPr>
            <w:tcW w:w="412"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对食品安全的监督检查</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对食品（含食品添加剂，不含特殊食品）生产企业的行政检查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食品生产企业的生产环境条件、生产过程控制、不合格品管理和食品召回、从业人员管理等情况</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获证食品（含食品添加剂，不含特殊食品）生产企业</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抽查比例根据监管实际确定，每年1次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1.《食品安全法》 第一百一十条。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2.《食品生产经营日常监督检查管理办法》 第四条。</w:t>
            </w:r>
          </w:p>
        </w:tc>
      </w:tr>
      <w:tr>
        <w:tblPrEx>
          <w:tblCellMar>
            <w:top w:w="0" w:type="dxa"/>
            <w:left w:w="108" w:type="dxa"/>
            <w:bottom w:w="0" w:type="dxa"/>
            <w:right w:w="108" w:type="dxa"/>
          </w:tblCellMar>
        </w:tblPrEx>
        <w:trPr>
          <w:gridAfter w:val="1"/>
          <w:wAfter w:w="4" w:type="pct"/>
          <w:trHeight w:val="755"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对食品小作坊的行政检查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食品小作坊的亮证经营、安全承诺、原料公示、单据留存、操作规范、场所清洁等情况</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登记的食品小作坊</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抽查比例根据监管实际确定，每年1次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1.《食品安全法》第一百一十条。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2.《山东省食品小作坊小餐饮和食品摊点管理条例》 第五条。</w:t>
            </w:r>
          </w:p>
        </w:tc>
      </w:tr>
      <w:tr>
        <w:tblPrEx>
          <w:tblCellMar>
            <w:top w:w="0" w:type="dxa"/>
            <w:left w:w="108" w:type="dxa"/>
            <w:bottom w:w="0" w:type="dxa"/>
            <w:right w:w="108" w:type="dxa"/>
          </w:tblCellMar>
        </w:tblPrEx>
        <w:trPr>
          <w:gridAfter w:val="1"/>
          <w:wAfter w:w="4" w:type="pct"/>
          <w:trHeight w:val="564"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对食品销售者的行政检查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经营资质、经营条件、自查情况、食品安全管理制度和人员管理、经营过程控制、食品标签等外观质量状况等</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风险等级为D级的食品销售者</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全年抽取D级风险食品销售者总数2%</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《中华人民共和国食品安全法》第一百零九条第二款。</w:t>
            </w:r>
          </w:p>
        </w:tc>
      </w:tr>
      <w:tr>
        <w:tblPrEx>
          <w:tblCellMar>
            <w:top w:w="0" w:type="dxa"/>
            <w:left w:w="108" w:type="dxa"/>
            <w:bottom w:w="0" w:type="dxa"/>
            <w:right w:w="108" w:type="dxa"/>
          </w:tblCellMar>
        </w:tblPrEx>
        <w:trPr>
          <w:gridAfter w:val="1"/>
          <w:wAfter w:w="4" w:type="pct"/>
          <w:trHeight w:val="731"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对餐饮服务食品安全的监管</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对餐饮服务经营者日常经营行为的行政检查</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餐饮服务经营者</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抽查比例根据监管实际确定，每年1-2次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1.《食品安全法》第一百一十条。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2.《乳品质量安全监督管理条例》第四十六条。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3.《山东省盐业管理条例》第三十四条第二项。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4.《学校食品安全与营养健康管理规定》第八条、第十一条。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5.《食品生产经营日常监督检查管理办法》第四条、第八条。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6.《食用农产品市场销售质量安全监督管理办法》第三十七条第二款、第三十八条。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7.《网络食品安全违法行为查处办法》第二十四条。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8.《网络餐饮服务食品安全监督管理办法》第三条。</w:t>
            </w:r>
          </w:p>
        </w:tc>
      </w:tr>
      <w:tr>
        <w:tblPrEx>
          <w:tblCellMar>
            <w:top w:w="0" w:type="dxa"/>
            <w:left w:w="108" w:type="dxa"/>
            <w:bottom w:w="0" w:type="dxa"/>
            <w:right w:w="108" w:type="dxa"/>
          </w:tblCellMar>
        </w:tblPrEx>
        <w:trPr>
          <w:gridAfter w:val="1"/>
          <w:wAfter w:w="4" w:type="pct"/>
          <w:trHeight w:val="567"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对餐饮服务经营者开展食品安全信用监管的行政检查</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学校、养老院等食堂、以学生为主要供餐对象的集体用餐配送单位</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734"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对发生食品安全事故风险较高的餐饮服务经营者的行政检查</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学校、养老院等食堂、以学生为主要供餐对象的集体用餐配送单位</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557"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对餐饮服务经营者遵守本法情况的行政检查</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学校、养老院等食堂、以学生为主要供餐对象的集体用餐配送单位</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420"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对小餐饮食品安全的监管</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对小餐饮经营者日常经营行为的行政检查</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小餐饮经营者</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《山东省食品小作坊小餐饮和食品摊点管理条例》第三十四条、第三十五条。</w:t>
            </w:r>
          </w:p>
        </w:tc>
      </w:tr>
      <w:tr>
        <w:tblPrEx>
          <w:tblCellMar>
            <w:top w:w="0" w:type="dxa"/>
            <w:left w:w="108" w:type="dxa"/>
            <w:bottom w:w="0" w:type="dxa"/>
            <w:right w:w="108" w:type="dxa"/>
          </w:tblCellMar>
        </w:tblPrEx>
        <w:trPr>
          <w:gridAfter w:val="1"/>
          <w:wAfter w:w="4" w:type="pct"/>
          <w:trHeight w:val="797"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对生产经营环节的保健食品、特殊医学用途配方食品、婴幼儿配方食品等特殊食品食品安全的监督检查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特殊食品生产企业的生产环境条件、生产过程控制、不合格品管理和食品召回、从业人员管理等情况；特殊食品经营单位资质、经营条件、食品安全管理制度和人员管理、经营过程控制等</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生产经营保健食品、特殊医学用途配方食品、婴幼儿配方食品等特殊食品单位</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抽查比例根据监管实际确定，每年1次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1.《食品安全法》第一百一十条。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2.《食品生产经营日常监督检查管理办法》第八条。</w:t>
            </w:r>
          </w:p>
        </w:tc>
      </w:tr>
      <w:tr>
        <w:tblPrEx>
          <w:tblCellMar>
            <w:top w:w="0" w:type="dxa"/>
            <w:left w:w="108" w:type="dxa"/>
            <w:bottom w:w="0" w:type="dxa"/>
            <w:right w:w="108" w:type="dxa"/>
          </w:tblCellMar>
        </w:tblPrEx>
        <w:trPr>
          <w:gridAfter w:val="1"/>
          <w:wAfter w:w="4" w:type="pct"/>
          <w:trHeight w:val="502" w:hRule="atLeast"/>
        </w:trPr>
        <w:tc>
          <w:tcPr>
            <w:tcW w:w="176"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19</w:t>
            </w:r>
          </w:p>
        </w:tc>
        <w:tc>
          <w:tcPr>
            <w:tcW w:w="281"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计量监督检查</w:t>
            </w:r>
          </w:p>
        </w:tc>
        <w:tc>
          <w:tcPr>
            <w:tcW w:w="41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对制造、修理、销售、进口和使用计量器具，以及计量检定等相关计量活动的监督检查（对社会公用计量标准的监督管理）</w:t>
            </w:r>
          </w:p>
        </w:tc>
        <w:tc>
          <w:tcPr>
            <w:tcW w:w="469"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在用计量器具监督检查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对计量标准建设和运行质量进行专项监督检查</w:t>
            </w:r>
          </w:p>
        </w:tc>
        <w:tc>
          <w:tcPr>
            <w:tcW w:w="530"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计量器具制造、修理、销售、进口和使用单位</w:t>
            </w:r>
          </w:p>
        </w:tc>
        <w:tc>
          <w:tcPr>
            <w:tcW w:w="305"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网络检查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抽样检测</w:t>
            </w:r>
          </w:p>
        </w:tc>
        <w:tc>
          <w:tcPr>
            <w:tcW w:w="422"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抽查比例为2%，每年1次</w:t>
            </w:r>
          </w:p>
        </w:tc>
        <w:tc>
          <w:tcPr>
            <w:tcW w:w="361"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1.《中华人民共和国计量法》第六条、第七条、第八条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2.《计量标准考核办法）》（总局令第72号）。</w:t>
            </w:r>
          </w:p>
        </w:tc>
      </w:tr>
      <w:tr>
        <w:tblPrEx>
          <w:tblCellMar>
            <w:top w:w="0" w:type="dxa"/>
            <w:left w:w="108" w:type="dxa"/>
            <w:bottom w:w="0" w:type="dxa"/>
            <w:right w:w="108" w:type="dxa"/>
          </w:tblCellMar>
        </w:tblPrEx>
        <w:trPr>
          <w:gridAfter w:val="1"/>
          <w:wAfter w:w="4" w:type="pct"/>
          <w:trHeight w:val="851" w:hRule="atLeast"/>
        </w:trPr>
        <w:tc>
          <w:tcPr>
            <w:tcW w:w="176"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对使用计量器具，以及计量检定等相关计量活动进行专项监督检查</w:t>
            </w:r>
          </w:p>
        </w:tc>
        <w:tc>
          <w:tcPr>
            <w:tcW w:w="530"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1.《计量法》第四条、第六条、第十八条。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2.《集贸市场计量监督管理办法》第八条。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3.《加油站计量监督管理办法》第六条。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4.《眼镜制配计量监督管理办法》第七条。</w:t>
            </w:r>
          </w:p>
        </w:tc>
      </w:tr>
      <w:tr>
        <w:tblPrEx>
          <w:tblCellMar>
            <w:top w:w="0" w:type="dxa"/>
            <w:left w:w="108" w:type="dxa"/>
            <w:bottom w:w="0" w:type="dxa"/>
            <w:right w:w="108" w:type="dxa"/>
          </w:tblCellMar>
        </w:tblPrEx>
        <w:trPr>
          <w:gridAfter w:val="1"/>
          <w:wAfter w:w="4" w:type="pct"/>
          <w:trHeight w:val="492" w:hRule="atLeast"/>
        </w:trPr>
        <w:tc>
          <w:tcPr>
            <w:tcW w:w="176"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对国家标准物质质量、生产条件是否符合要求进行专项监督检查</w:t>
            </w:r>
          </w:p>
        </w:tc>
        <w:tc>
          <w:tcPr>
            <w:tcW w:w="530"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1.《计量法实施细则》第十八条、第六十一条。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2.《标准物质管理办法》</w:t>
            </w:r>
          </w:p>
        </w:tc>
      </w:tr>
      <w:tr>
        <w:tblPrEx>
          <w:tblCellMar>
            <w:top w:w="0" w:type="dxa"/>
            <w:left w:w="108" w:type="dxa"/>
            <w:bottom w:w="0" w:type="dxa"/>
            <w:right w:w="108" w:type="dxa"/>
          </w:tblCellMar>
        </w:tblPrEx>
        <w:trPr>
          <w:gridAfter w:val="1"/>
          <w:wAfter w:w="4" w:type="pct"/>
          <w:trHeight w:val="566" w:hRule="atLeast"/>
        </w:trPr>
        <w:tc>
          <w:tcPr>
            <w:tcW w:w="176"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对重点用能单位能源计量器具配备和使用情况进行专项监督行政检查</w:t>
            </w:r>
          </w:p>
        </w:tc>
        <w:tc>
          <w:tcPr>
            <w:tcW w:w="530"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1.《节约能源法》第二十七条、第七十四条。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2.《能源计量监督管理办法》第六条、第七条、第八条、第九条、第十四条、第十七条。</w:t>
            </w:r>
          </w:p>
        </w:tc>
      </w:tr>
      <w:tr>
        <w:tblPrEx>
          <w:tblCellMar>
            <w:top w:w="0" w:type="dxa"/>
            <w:left w:w="108" w:type="dxa"/>
            <w:bottom w:w="0" w:type="dxa"/>
            <w:right w:w="108" w:type="dxa"/>
          </w:tblCellMar>
        </w:tblPrEx>
        <w:trPr>
          <w:gridAfter w:val="1"/>
          <w:wAfter w:w="4" w:type="pct"/>
          <w:trHeight w:val="429" w:hRule="atLeast"/>
        </w:trPr>
        <w:tc>
          <w:tcPr>
            <w:tcW w:w="176"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型式批准监督检查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对进口计量器具是否办理进口计量器具型式批准进行监督检查</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进口计量器具经销商</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抽查比例为2%，每年1次</w:t>
            </w:r>
          </w:p>
        </w:tc>
        <w:tc>
          <w:tcPr>
            <w:tcW w:w="36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1.《计量法实施细则》第十九条。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2.《进口计量器具监督管理办法》</w:t>
            </w:r>
          </w:p>
        </w:tc>
      </w:tr>
      <w:tr>
        <w:tblPrEx>
          <w:tblCellMar>
            <w:top w:w="0" w:type="dxa"/>
            <w:left w:w="108" w:type="dxa"/>
            <w:bottom w:w="0" w:type="dxa"/>
            <w:right w:w="108" w:type="dxa"/>
          </w:tblCellMar>
        </w:tblPrEx>
        <w:trPr>
          <w:gridAfter w:val="1"/>
          <w:wAfter w:w="4" w:type="pct"/>
          <w:trHeight w:val="568" w:hRule="atLeast"/>
        </w:trPr>
        <w:tc>
          <w:tcPr>
            <w:tcW w:w="176"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对计量器具新产品是否办理计量器具型式批准、是否按照批准的型式组织生产进行监督检查</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企业、事业单位、个体工商户及其他经营者</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抽样检测</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1.《计量法》第十八条。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2.《计量法实施细则》第十八、二十条。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3.《计量器具新产品管理办法》第十八条。</w:t>
            </w:r>
          </w:p>
        </w:tc>
      </w:tr>
      <w:tr>
        <w:tblPrEx>
          <w:tblCellMar>
            <w:top w:w="0" w:type="dxa"/>
            <w:left w:w="108" w:type="dxa"/>
            <w:bottom w:w="0" w:type="dxa"/>
            <w:right w:w="108" w:type="dxa"/>
          </w:tblCellMar>
        </w:tblPrEx>
        <w:trPr>
          <w:gridAfter w:val="1"/>
          <w:wAfter w:w="4" w:type="pct"/>
          <w:trHeight w:val="559" w:hRule="atLeast"/>
        </w:trPr>
        <w:tc>
          <w:tcPr>
            <w:tcW w:w="176" w:type="pc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对计量技术机构的监督管理</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法定计量检定机构专项监督检查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对计量检定机构贯彻执行计量法律法规情况，计量标准建设和运行质量，出具计量检定证书的质量进行监督检查</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法定计量检定机构</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书面检查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抽查比例为5%，每年1次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1.《计量法》第十八条。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2.《计量法实施细则》第二十八条。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3.《法定计量检定机构监督管理办法》第十五、十六条。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4.《专业计量站管理办法》第十四、十八条。</w:t>
            </w:r>
          </w:p>
        </w:tc>
      </w:tr>
      <w:tr>
        <w:tblPrEx>
          <w:tblCellMar>
            <w:top w:w="0" w:type="dxa"/>
            <w:left w:w="108" w:type="dxa"/>
            <w:bottom w:w="0" w:type="dxa"/>
            <w:right w:w="108" w:type="dxa"/>
          </w:tblCellMar>
        </w:tblPrEx>
        <w:trPr>
          <w:gridAfter w:val="1"/>
          <w:wAfter w:w="4" w:type="pct"/>
          <w:trHeight w:val="560" w:hRule="atLeast"/>
        </w:trPr>
        <w:tc>
          <w:tcPr>
            <w:tcW w:w="176" w:type="pc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21</w:t>
            </w: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对推行法定计量单位监督检查</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计量单位使用情况专项监督检查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对计量单位使用方进行法定计量单位使用情况专项监督检查</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宣传出版、文化教育、市场交易等领域</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书面检查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抽查比例为2%，每年1次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1.《计量法》第十八条。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2.《全面推行我国法定计量单位的意见》</w:t>
            </w:r>
          </w:p>
        </w:tc>
      </w:tr>
      <w:tr>
        <w:tblPrEx>
          <w:tblCellMar>
            <w:top w:w="0" w:type="dxa"/>
            <w:left w:w="108" w:type="dxa"/>
            <w:bottom w:w="0" w:type="dxa"/>
            <w:right w:w="108" w:type="dxa"/>
          </w:tblCellMar>
        </w:tblPrEx>
        <w:trPr>
          <w:gridAfter w:val="1"/>
          <w:wAfter w:w="4" w:type="pct"/>
          <w:trHeight w:val="578" w:hRule="atLeast"/>
        </w:trPr>
        <w:tc>
          <w:tcPr>
            <w:tcW w:w="176" w:type="pc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w:t>
            </w: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对商品量计量和市场计量行为的监督检查</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定量包装商品净含量国家计量监督专项抽查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对定量包装商品净含量的标注、定量包装商品净含量进行专项监督检查</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生产企业和销售企业</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抽样检测</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抽查比例为5%，每年1次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1.《计量法》第十八条。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2.《定量包装商品计量监督管理办法》</w:t>
            </w:r>
          </w:p>
        </w:tc>
      </w:tr>
      <w:tr>
        <w:tblPrEx>
          <w:tblCellMar>
            <w:top w:w="0" w:type="dxa"/>
            <w:left w:w="108" w:type="dxa"/>
            <w:bottom w:w="0" w:type="dxa"/>
            <w:right w:w="108" w:type="dxa"/>
          </w:tblCellMar>
        </w:tblPrEx>
        <w:trPr>
          <w:gridAfter w:val="1"/>
          <w:wAfter w:w="4" w:type="pct"/>
          <w:trHeight w:val="293" w:hRule="atLeast"/>
        </w:trPr>
        <w:tc>
          <w:tcPr>
            <w:tcW w:w="176" w:type="pc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23</w:t>
            </w: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对能源计量进行监督管理</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能效标识计量专项监督检查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标识标注符合性检查</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生产企业和销售企业</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抽样检测</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抽查比例为1%，每年1次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1.《节约能源法》第七十三条。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2.《能源计量监督管理办法》第十六条。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3.《能源效率标识管理办法》第十八条。</w:t>
            </w:r>
          </w:p>
        </w:tc>
      </w:tr>
      <w:tr>
        <w:tblPrEx>
          <w:tblCellMar>
            <w:top w:w="0" w:type="dxa"/>
            <w:left w:w="108" w:type="dxa"/>
            <w:bottom w:w="0" w:type="dxa"/>
            <w:right w:w="108" w:type="dxa"/>
          </w:tblCellMar>
        </w:tblPrEx>
        <w:trPr>
          <w:gridAfter w:val="1"/>
          <w:wAfter w:w="4" w:type="pct"/>
          <w:trHeight w:val="444" w:hRule="atLeast"/>
        </w:trPr>
        <w:tc>
          <w:tcPr>
            <w:tcW w:w="176" w:type="pc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w:t>
            </w: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对水效标识进行监督检查</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水效标识计量专项监督检查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标识标注符合性检查</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生产企业和销售企业</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抽样检测</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抽查比例为1%，每年1次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《水效标识管理办法》第十七条。</w:t>
            </w:r>
          </w:p>
        </w:tc>
      </w:tr>
      <w:tr>
        <w:tblPrEx>
          <w:tblCellMar>
            <w:top w:w="0" w:type="dxa"/>
            <w:left w:w="108" w:type="dxa"/>
            <w:bottom w:w="0" w:type="dxa"/>
            <w:right w:w="108" w:type="dxa"/>
          </w:tblCellMar>
        </w:tblPrEx>
        <w:trPr>
          <w:gridAfter w:val="1"/>
          <w:wAfter w:w="4" w:type="pct"/>
          <w:trHeight w:val="821" w:hRule="atLeast"/>
        </w:trPr>
        <w:tc>
          <w:tcPr>
            <w:tcW w:w="176" w:type="pc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28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地方标准</w:t>
            </w:r>
          </w:p>
        </w:tc>
        <w:tc>
          <w:tcPr>
            <w:tcW w:w="41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国家标准、行业标准、地方标准实施情况的监督和评估</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推动地方标准实施情况</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推动地方标准实施情况</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有关行政主管部门</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书面检查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抽查比例为上一年度发布数量的5%，每年1次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1.《标准化法》（2017年11月修订）第三十二条。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2.《山东省标准化条例》第二十三条、第三十一条。</w:t>
            </w:r>
          </w:p>
        </w:tc>
      </w:tr>
      <w:tr>
        <w:tblPrEx>
          <w:tblCellMar>
            <w:top w:w="0" w:type="dxa"/>
            <w:left w:w="108" w:type="dxa"/>
            <w:bottom w:w="0" w:type="dxa"/>
            <w:right w:w="108" w:type="dxa"/>
          </w:tblCellMar>
        </w:tblPrEx>
        <w:trPr>
          <w:gridAfter w:val="1"/>
          <w:wAfter w:w="4" w:type="pct"/>
          <w:trHeight w:val="461" w:hRule="atLeast"/>
        </w:trPr>
        <w:tc>
          <w:tcPr>
            <w:tcW w:w="176"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26</w:t>
            </w:r>
          </w:p>
        </w:tc>
        <w:tc>
          <w:tcPr>
            <w:tcW w:w="28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团体标准</w:t>
            </w:r>
          </w:p>
        </w:tc>
        <w:tc>
          <w:tcPr>
            <w:tcW w:w="41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对团体标准的监督检查</w:t>
            </w:r>
          </w:p>
        </w:tc>
        <w:tc>
          <w:tcPr>
            <w:tcW w:w="469"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社会团体自我声明公开的标准</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团体标准技术要求是否低于强制性国家标准</w:t>
            </w:r>
          </w:p>
        </w:tc>
        <w:tc>
          <w:tcPr>
            <w:tcW w:w="530"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社会团体</w:t>
            </w:r>
          </w:p>
        </w:tc>
        <w:tc>
          <w:tcPr>
            <w:tcW w:w="305"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书面检查</w:t>
            </w:r>
          </w:p>
        </w:tc>
        <w:tc>
          <w:tcPr>
            <w:tcW w:w="42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团体自我声明公开标准抽查比例为5%，每年1次</w:t>
            </w:r>
          </w:p>
        </w:tc>
        <w:tc>
          <w:tcPr>
            <w:tcW w:w="36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《标准化法》第十八条、第三十二条。</w:t>
            </w:r>
          </w:p>
        </w:tc>
      </w:tr>
      <w:tr>
        <w:tblPrEx>
          <w:tblCellMar>
            <w:top w:w="0" w:type="dxa"/>
            <w:left w:w="108" w:type="dxa"/>
            <w:bottom w:w="0" w:type="dxa"/>
            <w:right w:w="108" w:type="dxa"/>
          </w:tblCellMar>
        </w:tblPrEx>
        <w:trPr>
          <w:gridAfter w:val="1"/>
          <w:wAfter w:w="4" w:type="pct"/>
          <w:trHeight w:val="558" w:hRule="atLeast"/>
        </w:trPr>
        <w:tc>
          <w:tcPr>
            <w:tcW w:w="176"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团体标准内容是否做到技术上先进、经济上合理</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85" w:hRule="atLeast"/>
        </w:trPr>
        <w:tc>
          <w:tcPr>
            <w:tcW w:w="176"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团体标准编号是否符合规定</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618" w:hRule="atLeast"/>
        </w:trPr>
        <w:tc>
          <w:tcPr>
            <w:tcW w:w="176"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27</w:t>
            </w:r>
          </w:p>
        </w:tc>
        <w:tc>
          <w:tcPr>
            <w:tcW w:w="28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企业标准</w:t>
            </w:r>
          </w:p>
        </w:tc>
        <w:tc>
          <w:tcPr>
            <w:tcW w:w="41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对企业标准自我声明公开的监督检查</w:t>
            </w:r>
          </w:p>
        </w:tc>
        <w:tc>
          <w:tcPr>
            <w:tcW w:w="469"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企业自我声明公开执行标准</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标准技术要求是否低于强制性国家标准</w:t>
            </w:r>
          </w:p>
        </w:tc>
        <w:tc>
          <w:tcPr>
            <w:tcW w:w="530"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w:t>
            </w:r>
          </w:p>
        </w:tc>
        <w:tc>
          <w:tcPr>
            <w:tcW w:w="305"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书面检查</w:t>
            </w:r>
          </w:p>
        </w:tc>
        <w:tc>
          <w:tcPr>
            <w:tcW w:w="42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企业自我声明公开执行标准抽查比例为1%，每年1 次</w:t>
            </w:r>
          </w:p>
        </w:tc>
        <w:tc>
          <w:tcPr>
            <w:tcW w:w="36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《标准化法》第二十七条、第三十二条。</w:t>
            </w:r>
          </w:p>
        </w:tc>
      </w:tr>
      <w:tr>
        <w:tblPrEx>
          <w:tblCellMar>
            <w:top w:w="0" w:type="dxa"/>
            <w:left w:w="108" w:type="dxa"/>
            <w:bottom w:w="0" w:type="dxa"/>
            <w:right w:w="108" w:type="dxa"/>
          </w:tblCellMar>
        </w:tblPrEx>
        <w:trPr>
          <w:gridAfter w:val="1"/>
          <w:wAfter w:w="4" w:type="pct"/>
          <w:trHeight w:val="552" w:hRule="atLeast"/>
        </w:trPr>
        <w:tc>
          <w:tcPr>
            <w:tcW w:w="176"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标准内容是否做到技术上先进、经济上合理</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282" w:hRule="atLeast"/>
        </w:trPr>
        <w:tc>
          <w:tcPr>
            <w:tcW w:w="176"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标准编号和名称是否符合规定</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85" w:hRule="atLeast"/>
        </w:trPr>
        <w:tc>
          <w:tcPr>
            <w:tcW w:w="176"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标准功能指标和性能指标是否公开</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630" w:hRule="atLeast"/>
        </w:trPr>
        <w:tc>
          <w:tcPr>
            <w:tcW w:w="176"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28</w:t>
            </w:r>
          </w:p>
        </w:tc>
        <w:tc>
          <w:tcPr>
            <w:tcW w:w="28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资质认定检验检测机构监督检查</w:t>
            </w:r>
          </w:p>
        </w:tc>
        <w:tc>
          <w:tcPr>
            <w:tcW w:w="412"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资质认定检验检测机构监督检查</w:t>
            </w:r>
          </w:p>
        </w:tc>
        <w:tc>
          <w:tcPr>
            <w:tcW w:w="469"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资质认定检验检测机构监督检查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是否未依法取得资质认定，擅自向社会出具具有证明作用的数据、结果</w:t>
            </w:r>
          </w:p>
        </w:tc>
        <w:tc>
          <w:tcPr>
            <w:tcW w:w="530"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资质认定检验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检测机构</w:t>
            </w:r>
          </w:p>
        </w:tc>
        <w:tc>
          <w:tcPr>
            <w:tcW w:w="305"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书面检查、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网络检查、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委托专业机构检查</w:t>
            </w:r>
          </w:p>
        </w:tc>
        <w:tc>
          <w:tcPr>
            <w:tcW w:w="42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抽查比例为5%，每年1次</w:t>
            </w:r>
          </w:p>
        </w:tc>
        <w:tc>
          <w:tcPr>
            <w:tcW w:w="36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1.《认证认可条例》第五十四条。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2.《计量法》 第二十二条。                                                                                    3.《检验检测机构监督管理办法》（国家市场监督管理局第39号令）第二十五条、第二十六条。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4.《检验检测机构资质认定管理办法》（2021年修订版,原国家质量监督检验检疫总局令第163号令)。</w:t>
            </w:r>
          </w:p>
        </w:tc>
      </w:tr>
      <w:tr>
        <w:tblPrEx>
          <w:tblCellMar>
            <w:top w:w="0" w:type="dxa"/>
            <w:left w:w="108" w:type="dxa"/>
            <w:bottom w:w="0" w:type="dxa"/>
            <w:right w:w="108" w:type="dxa"/>
          </w:tblCellMar>
        </w:tblPrEx>
        <w:trPr>
          <w:gridAfter w:val="1"/>
          <w:wAfter w:w="4" w:type="pct"/>
          <w:trHeight w:val="550"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是否超出资质认定证书规定的检验检测能力范围，擅自向社会出具具有证明作用的数据、结果</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703"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是否基本条件和技术能力不能持续符合资质认定条件和要求，擅自向社会出具具有证明作用的检验检测数据、结果</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567"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是否未按照规定办理变更手续</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571"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是否未按照规定标注资质认定标志</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561"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是否出具不实检验检测报告，是否出具虚假检验检测报告</w:t>
            </w:r>
          </w:p>
        </w:tc>
        <w:tc>
          <w:tcPr>
            <w:tcW w:w="530"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05"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5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422"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kern w:val="0"/>
                <w:sz w:val="18"/>
                <w:szCs w:val="18"/>
              </w:rPr>
            </w:pP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1156" w:hRule="atLeast"/>
        </w:trPr>
        <w:tc>
          <w:tcPr>
            <w:tcW w:w="176"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29</w:t>
            </w:r>
          </w:p>
        </w:tc>
        <w:tc>
          <w:tcPr>
            <w:tcW w:w="281"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对认证活动监督检查</w:t>
            </w:r>
          </w:p>
        </w:tc>
        <w:tc>
          <w:tcPr>
            <w:tcW w:w="412" w:type="pct"/>
            <w:vMerge w:val="restart"/>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对认证活动监督检查</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自愿性认证活动监督检查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自愿性认证活动及其结果是否符合有关法规、规则要求</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认证机构、获证组织</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书面检查、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网络检查、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委托专业机构检查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抽查比例根据监管实际确定，每年1次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县级以上市场监管部门（根据市场监管总局授权及其计划实施）</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1.《认证认可条例》第五十四条。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2.《认证机构管理办法》第二十六条。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3.《有机产品认证管理办法》第三十八条。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4.《认证证书和认证标志管理办法》第二十一条。</w:t>
            </w:r>
          </w:p>
        </w:tc>
      </w:tr>
      <w:tr>
        <w:tblPrEx>
          <w:tblCellMar>
            <w:top w:w="0" w:type="dxa"/>
            <w:left w:w="108" w:type="dxa"/>
            <w:bottom w:w="0" w:type="dxa"/>
            <w:right w:w="108" w:type="dxa"/>
          </w:tblCellMar>
        </w:tblPrEx>
        <w:trPr>
          <w:gridAfter w:val="1"/>
          <w:wAfter w:w="4" w:type="pct"/>
          <w:trHeight w:val="848" w:hRule="atLeast"/>
        </w:trPr>
        <w:tc>
          <w:tcPr>
            <w:tcW w:w="176"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000000"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强制性产品认证活动监督检查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强制性产品认证活动及其结果是否符合有关法规、规则要求</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认证机构、获证组织</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书面检查、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网络检查、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委托专业机构检查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抽查比例根据监管实际确定，每年1次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县级以上市场监管部门（根据市场监管总局授权及其计划实施）</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1.《认证认可条例》第五十四条。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2.《认证机构管理办法》第二十六条。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3.《强制性产品认证管理规定》第三十七条。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4.《认证证书和认证标志管理办法》第二十一条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5.《强制性产品认证标志管理办法》第十九条。</w:t>
            </w:r>
          </w:p>
        </w:tc>
      </w:tr>
      <w:tr>
        <w:tblPrEx>
          <w:tblCellMar>
            <w:top w:w="0" w:type="dxa"/>
            <w:left w:w="108" w:type="dxa"/>
            <w:bottom w:w="0" w:type="dxa"/>
            <w:right w:w="108" w:type="dxa"/>
          </w:tblCellMar>
        </w:tblPrEx>
        <w:trPr>
          <w:gridAfter w:val="1"/>
          <w:wAfter w:w="4" w:type="pct"/>
          <w:trHeight w:val="1137" w:hRule="atLeast"/>
        </w:trPr>
        <w:tc>
          <w:tcPr>
            <w:tcW w:w="176" w:type="pct"/>
            <w:vMerge w:val="restart"/>
            <w:tcBorders>
              <w:top w:val="nil"/>
              <w:left w:val="single" w:color="auto" w:sz="4" w:space="0"/>
              <w:bottom w:val="nil"/>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30</w:t>
            </w:r>
          </w:p>
        </w:tc>
        <w:tc>
          <w:tcPr>
            <w:tcW w:w="28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专利代理监督检查</w:t>
            </w:r>
          </w:p>
        </w:tc>
        <w:tc>
          <w:tcPr>
            <w:tcW w:w="412" w:type="pct"/>
            <w:vMerge w:val="restart"/>
            <w:tcBorders>
              <w:top w:val="nil"/>
              <w:left w:val="single" w:color="auto" w:sz="4" w:space="0"/>
              <w:bottom w:val="nil"/>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对专利代理机构和专利代理师的执业活动进行检查、监督</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专利代理机构主体资格和执业资质检查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专利代理机构是否符合从事专利代理业务的要求</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专利代理机构</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实地检查、网络检查、书面检查等</w:t>
            </w:r>
          </w:p>
        </w:tc>
        <w:tc>
          <w:tcPr>
            <w:tcW w:w="42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专利代理机构（含分支机构）抽查比例为100%（律师事务所除外）；每年抽查1次</w:t>
            </w:r>
          </w:p>
        </w:tc>
        <w:tc>
          <w:tcPr>
            <w:tcW w:w="36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省级市场监管部门发起，各级监管部门协助</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1.《专利代理条例》第七条、第八条。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2.《专利代理管理办法》第六条、第九条、第十条、第十一条、第十二条、第十三条、第十四条、第十五条、第三十七条、第四十一条、第四十二条。</w:t>
            </w:r>
          </w:p>
        </w:tc>
      </w:tr>
      <w:tr>
        <w:tblPrEx>
          <w:tblCellMar>
            <w:top w:w="0" w:type="dxa"/>
            <w:left w:w="108" w:type="dxa"/>
            <w:bottom w:w="0" w:type="dxa"/>
            <w:right w:w="108" w:type="dxa"/>
          </w:tblCellMar>
        </w:tblPrEx>
        <w:trPr>
          <w:gridAfter w:val="1"/>
          <w:wAfter w:w="4" w:type="pct"/>
          <w:trHeight w:val="1283" w:hRule="atLeast"/>
        </w:trPr>
        <w:tc>
          <w:tcPr>
            <w:tcW w:w="176" w:type="pct"/>
            <w:vMerge w:val="continue"/>
            <w:tcBorders>
              <w:top w:val="nil"/>
              <w:left w:val="single" w:color="auto" w:sz="4" w:space="0"/>
              <w:bottom w:val="nil"/>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nil"/>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专利代理机构设立、变更、注销办事机构情况的检查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注册信息是否一致；专利代理机构有关事项发生变化后，是否按要求办理变更手续；分支机构设立是否具备相关条件；设立、变更、注销分支机构是否按要求备案</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专利代理机构</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实地检查、网络检查、书面检查等</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1.《专利代理条例》第九条。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2.《专利代理管理办法》第十七条、第十八条、第十九条、第二十条、第二十二条、第二十九条、第三十七条、第四十一条、第四十二条。</w:t>
            </w:r>
          </w:p>
        </w:tc>
      </w:tr>
      <w:tr>
        <w:tblPrEx>
          <w:tblCellMar>
            <w:top w:w="0" w:type="dxa"/>
            <w:left w:w="108" w:type="dxa"/>
            <w:bottom w:w="0" w:type="dxa"/>
            <w:right w:w="108" w:type="dxa"/>
          </w:tblCellMar>
        </w:tblPrEx>
        <w:trPr>
          <w:gridAfter w:val="1"/>
          <w:wAfter w:w="4" w:type="pct"/>
          <w:trHeight w:val="2603" w:hRule="atLeast"/>
        </w:trPr>
        <w:tc>
          <w:tcPr>
            <w:tcW w:w="176" w:type="pct"/>
            <w:vMerge w:val="continue"/>
            <w:tcBorders>
              <w:top w:val="nil"/>
              <w:left w:val="single" w:color="auto" w:sz="4" w:space="0"/>
              <w:bottom w:val="nil"/>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nil"/>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专利代理机构、专利代理师执业行为检查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专利代理机构是否建立健全执业管理制度和运营制度等情况；专利代理机构经营活动是否存在专利代理违法违规行为；专利代理师是否符合执业条件并履行备案手续；专利代理师是否存在专利代理违法违规行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检查是否向国家知识产权局提交年度报告；检查是否被列入经营异常名录或严重违法名单；专利代理机构通过互联网平台宣传、承接专利代理业务的，检查是否在首页显著位置持续公示并及时更新专利代理机构执业许可证等信息；专利代理机构年度报告和信息公示情况，是否向国家知识产权局提交年度报告。</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专利代理机构、专利代理人</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实地检查、网络检查、书面检查等</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1.《专利代理条例》第十一条、第十三条、第十四条、第十五条、第十六条、第十七条、第十八条、第十九条、第二十四条、第二十五条、第二十六条。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2.《专利代理管理办法》第五条、第二十一条、第二十三条、第二十四条、第二十五条、第二十六条、第三十五条、第三十七条、第三十八条、第四十条、第四十一条、第四十二条、第五十一条、第五十三条。</w:t>
            </w:r>
          </w:p>
        </w:tc>
      </w:tr>
      <w:tr>
        <w:tblPrEx>
          <w:tblCellMar>
            <w:top w:w="0" w:type="dxa"/>
            <w:left w:w="108" w:type="dxa"/>
            <w:bottom w:w="0" w:type="dxa"/>
            <w:right w:w="108" w:type="dxa"/>
          </w:tblCellMar>
        </w:tblPrEx>
        <w:trPr>
          <w:gridAfter w:val="1"/>
          <w:wAfter w:w="4" w:type="pct"/>
          <w:trHeight w:val="2423" w:hRule="atLeast"/>
        </w:trPr>
        <w:tc>
          <w:tcPr>
            <w:tcW w:w="17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31</w:t>
            </w:r>
          </w:p>
        </w:tc>
        <w:tc>
          <w:tcPr>
            <w:tcW w:w="28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商标代理行为的检查</w:t>
            </w:r>
          </w:p>
        </w:tc>
        <w:tc>
          <w:tcPr>
            <w:tcW w:w="412" w:type="pct"/>
            <w:tcBorders>
              <w:top w:val="single" w:color="auto" w:sz="4" w:space="0"/>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商标代理行为的检查</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商标代理机构执业情况</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1.核实：登记注册信息与实际信息是否一致；使用名称与营业执照名称是否一致。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检查：检查代理过程中是否签订书面委托合同；检查是否存在办理商标事宜过程中，伪造、变造或者使用伪造、变造的法律文件、印章、签名的情形；检查是否存在以诋毁其他商标代理机构等手段招徕商标代理业务或者以其他不正当手段扰乱商标代理市场秩序的情形；检查是否存在知道或者应当知道委托人申请注册的商标违反《中华人民共和国商标法》相关规定情形的，仍接受其委托的；检查是否存在除对其代理服务申请商标注册外，还申请注册其他商标的情形；检查是否被列入经营异常名录或严重失信违法名单</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经市场监管部门登记从事商标代理业务的服务机构（所）</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现场检查、书面检查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经市场监管部门登记从事商标代理业务的服务机构（所），抽查比例为50%；每年抽查1次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1.《商标法》第六十八条。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2.《商标法实施条例》第八十八条、第八十九条。</w:t>
            </w:r>
          </w:p>
        </w:tc>
      </w:tr>
      <w:tr>
        <w:tblPrEx>
          <w:tblCellMar>
            <w:top w:w="0" w:type="dxa"/>
            <w:left w:w="108" w:type="dxa"/>
            <w:bottom w:w="0" w:type="dxa"/>
            <w:right w:w="108" w:type="dxa"/>
          </w:tblCellMar>
        </w:tblPrEx>
        <w:trPr>
          <w:gridAfter w:val="1"/>
          <w:wAfter w:w="4" w:type="pct"/>
          <w:trHeight w:val="747" w:hRule="atLeast"/>
        </w:trPr>
        <w:tc>
          <w:tcPr>
            <w:tcW w:w="176"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32</w:t>
            </w:r>
          </w:p>
        </w:tc>
        <w:tc>
          <w:tcPr>
            <w:tcW w:w="28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专利真实性监督检查</w:t>
            </w:r>
          </w:p>
        </w:tc>
        <w:tc>
          <w:tcPr>
            <w:tcW w:w="41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对专利侵权、假冒行为的行政检查</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专利证书、专利文件或专利申请文件真实性的检查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专利证书、专利文件或专利申请文件是否真实有效</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各类市场主体、产品</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1.抽查比例参照年报信息公示抽查比例确定；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2.抽查频次原则上每年1次，可根据工作实际确定</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1.《专利法》 第六十三条。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2.《专利法实施细则》 第八十四条。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3.《山东省专利条例》第五十一条、第五十二条。</w:t>
            </w:r>
          </w:p>
        </w:tc>
      </w:tr>
      <w:tr>
        <w:tblPrEx>
          <w:tblCellMar>
            <w:top w:w="0" w:type="dxa"/>
            <w:left w:w="108" w:type="dxa"/>
            <w:bottom w:w="0" w:type="dxa"/>
            <w:right w:w="108" w:type="dxa"/>
          </w:tblCellMar>
        </w:tblPrEx>
        <w:trPr>
          <w:gridAfter w:val="1"/>
          <w:wAfter w:w="4" w:type="pct"/>
          <w:trHeight w:val="556" w:hRule="atLeast"/>
        </w:trPr>
        <w:tc>
          <w:tcPr>
            <w:tcW w:w="176"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产品专利宣传真实性的检查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产品专利宣传是否真实有效</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各类市场主体</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市、县级级市场监管部门</w:t>
            </w: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574" w:hRule="atLeast"/>
        </w:trPr>
        <w:tc>
          <w:tcPr>
            <w:tcW w:w="176"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假冒专利行为提供便利条件的检查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是否存在为假冒专利行为提供便利条件的情形</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各类市场主体</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现场检查</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vMerge w:val="continue"/>
            <w:tcBorders>
              <w:top w:val="nil"/>
              <w:left w:val="single" w:color="auto" w:sz="4" w:space="0"/>
              <w:bottom w:val="single" w:color="auto" w:sz="4" w:space="0"/>
              <w:right w:val="single" w:color="auto" w:sz="4" w:space="0"/>
            </w:tcBorders>
            <w:noWrap w:val="0"/>
            <w:vAlign w:val="center"/>
          </w:tcPr>
          <w:p>
            <w:pPr>
              <w:snapToGrid w:val="0"/>
              <w:jc w:val="left"/>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gridAfter w:val="1"/>
          <w:wAfter w:w="4" w:type="pct"/>
          <w:trHeight w:val="1137" w:hRule="atLeast"/>
        </w:trPr>
        <w:tc>
          <w:tcPr>
            <w:tcW w:w="176"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33</w:t>
            </w:r>
          </w:p>
        </w:tc>
        <w:tc>
          <w:tcPr>
            <w:tcW w:w="281"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商标使用行为的检查</w:t>
            </w:r>
          </w:p>
        </w:tc>
        <w:tc>
          <w:tcPr>
            <w:tcW w:w="41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商标使用行为的监督检查</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商标使用行为的检查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商标使用行为是否合法规范</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企业、个体工商户、农民专业合作社</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现场抽查、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书面检查</w:t>
            </w:r>
          </w:p>
        </w:tc>
        <w:tc>
          <w:tcPr>
            <w:tcW w:w="422" w:type="pct"/>
            <w:vMerge w:val="restar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1.抽查比例参照年报信息公示抽查比例确定；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2.抽查频次原则上每年1次，可根据工作实际确定</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1.《商标法》第六条、第十条、第十四条第五款、第四十三条第二款、第四十九条第一款、第五十一条、第五十二条、第五十三条。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2.《商标法实施条例》第七十一条。</w:t>
            </w:r>
          </w:p>
        </w:tc>
      </w:tr>
      <w:tr>
        <w:tblPrEx>
          <w:tblCellMar>
            <w:top w:w="0" w:type="dxa"/>
            <w:left w:w="108" w:type="dxa"/>
            <w:bottom w:w="0" w:type="dxa"/>
            <w:right w:w="108" w:type="dxa"/>
          </w:tblCellMar>
        </w:tblPrEx>
        <w:trPr>
          <w:gridAfter w:val="1"/>
          <w:wAfter w:w="4" w:type="pct"/>
          <w:trHeight w:val="1298" w:hRule="atLeast"/>
        </w:trPr>
        <w:tc>
          <w:tcPr>
            <w:tcW w:w="176"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集体商标、证明商标（含地理标志）使用行为的检查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集体商标、证明商标（含地理标志）使用行为是否合法规范</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企业、个体工商户、农民专业合作社</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现场抽查、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书面检查</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1.《商标法》第十六条。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2.《商标法实施条例》第四条。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3.《集体商标、证明商标注册和管理办法》第十七条、第十八条、第十九条、第二十条、第二十一条、第二十二条。</w:t>
            </w:r>
          </w:p>
        </w:tc>
      </w:tr>
      <w:tr>
        <w:tblPrEx>
          <w:tblCellMar>
            <w:top w:w="0" w:type="dxa"/>
            <w:left w:w="108" w:type="dxa"/>
            <w:bottom w:w="0" w:type="dxa"/>
            <w:right w:w="108" w:type="dxa"/>
          </w:tblCellMar>
        </w:tblPrEx>
        <w:trPr>
          <w:gridAfter w:val="1"/>
          <w:wAfter w:w="4" w:type="pct"/>
          <w:trHeight w:val="716" w:hRule="atLeast"/>
        </w:trPr>
        <w:tc>
          <w:tcPr>
            <w:tcW w:w="176"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281"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1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商标印制行为的检查</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商标印制行为是否合法规范</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企业、个体工商户、农民专业合作社</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现场抽查、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书面检查</w:t>
            </w:r>
          </w:p>
        </w:tc>
        <w:tc>
          <w:tcPr>
            <w:tcW w:w="422" w:type="pct"/>
            <w:vMerge w:val="continue"/>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《商标印制管理办法》第三条、第四条、第五条、第六条、第七条、第八条、第九条、第十条、第十一条、第十二条、第十三条。</w:t>
            </w:r>
          </w:p>
        </w:tc>
      </w:tr>
      <w:tr>
        <w:tblPrEx>
          <w:tblCellMar>
            <w:top w:w="0" w:type="dxa"/>
            <w:left w:w="108" w:type="dxa"/>
            <w:bottom w:w="0" w:type="dxa"/>
            <w:right w:w="108" w:type="dxa"/>
          </w:tblCellMar>
        </w:tblPrEx>
        <w:trPr>
          <w:gridAfter w:val="1"/>
          <w:wAfter w:w="4" w:type="pct"/>
          <w:trHeight w:val="565" w:hRule="atLeast"/>
        </w:trPr>
        <w:tc>
          <w:tcPr>
            <w:tcW w:w="176" w:type="pc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34</w:t>
            </w:r>
          </w:p>
        </w:tc>
        <w:tc>
          <w:tcPr>
            <w:tcW w:w="28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地理标志专用标志使用行为的检查</w:t>
            </w:r>
          </w:p>
        </w:tc>
        <w:tc>
          <w:tcPr>
            <w:tcW w:w="41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地理标志专用标志使用行为的检查</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地理标志专用标志使用行为</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经核准使用地理标志专用标志的企业是否规范使用专用标志</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经核准使用地理标志专用标志的企业</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现场抽查、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书面检查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全年抽查比例为50%；每年抽查1次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1.《地理标志产品保护规定》第二十二条、第二十三条。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2.《地理标志专用标志使用管理办法（试行）》第六条、第七条、第八条、第九条、第十二条。</w:t>
            </w:r>
          </w:p>
        </w:tc>
      </w:tr>
      <w:tr>
        <w:tblPrEx>
          <w:tblCellMar>
            <w:top w:w="0" w:type="dxa"/>
            <w:left w:w="108" w:type="dxa"/>
            <w:bottom w:w="0" w:type="dxa"/>
            <w:right w:w="108" w:type="dxa"/>
          </w:tblCellMar>
        </w:tblPrEx>
        <w:trPr>
          <w:gridAfter w:val="1"/>
          <w:wAfter w:w="4" w:type="pct"/>
          <w:trHeight w:val="718" w:hRule="atLeast"/>
        </w:trPr>
        <w:tc>
          <w:tcPr>
            <w:tcW w:w="176" w:type="pct"/>
            <w:tcBorders>
              <w:top w:val="nil"/>
              <w:left w:val="single" w:color="auto" w:sz="4" w:space="0"/>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28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对经营者提供的服务的抽查检验</w:t>
            </w:r>
          </w:p>
        </w:tc>
        <w:tc>
          <w:tcPr>
            <w:tcW w:w="41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对经营者提供的服务的抽查检验</w:t>
            </w:r>
          </w:p>
        </w:tc>
        <w:tc>
          <w:tcPr>
            <w:tcW w:w="469"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对经营者提供的服务的抽查检验</w:t>
            </w:r>
          </w:p>
        </w:tc>
        <w:tc>
          <w:tcPr>
            <w:tcW w:w="703" w:type="pct"/>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对经营者提供的服务进行抽查检验</w:t>
            </w:r>
          </w:p>
        </w:tc>
        <w:tc>
          <w:tcPr>
            <w:tcW w:w="530"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经营者</w:t>
            </w:r>
          </w:p>
        </w:tc>
        <w:tc>
          <w:tcPr>
            <w:tcW w:w="305"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一般检查事项</w:t>
            </w:r>
          </w:p>
        </w:tc>
        <w:tc>
          <w:tcPr>
            <w:tcW w:w="35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现场抽查、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书面检查</w:t>
            </w:r>
          </w:p>
        </w:tc>
        <w:tc>
          <w:tcPr>
            <w:tcW w:w="422"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抽查比例为5%，每年1次</w:t>
            </w:r>
          </w:p>
        </w:tc>
        <w:tc>
          <w:tcPr>
            <w:tcW w:w="361" w:type="pct"/>
            <w:tcBorders>
              <w:top w:val="nil"/>
              <w:left w:val="nil"/>
              <w:bottom w:val="single" w:color="auto" w:sz="4" w:space="0"/>
              <w:right w:val="single" w:color="auto" w:sz="4" w:space="0"/>
            </w:tcBorders>
            <w:shd w:val="clear" w:color="auto" w:fill="auto"/>
            <w:noWrap w:val="0"/>
            <w:vAlign w:val="center"/>
          </w:tcPr>
          <w:p>
            <w:pPr>
              <w:snapToGrid w:val="0"/>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市、县级市场监管部门</w:t>
            </w:r>
          </w:p>
        </w:tc>
        <w:tc>
          <w:tcPr>
            <w:tcW w:w="985" w:type="pct"/>
            <w:gridSpan w:val="2"/>
            <w:tcBorders>
              <w:top w:val="nil"/>
              <w:left w:val="nil"/>
              <w:bottom w:val="single" w:color="auto" w:sz="4" w:space="0"/>
              <w:right w:val="single" w:color="auto" w:sz="4" w:space="0"/>
            </w:tcBorders>
            <w:shd w:val="clear" w:color="auto" w:fill="auto"/>
            <w:noWrap w:val="0"/>
            <w:vAlign w:val="center"/>
          </w:tcPr>
          <w:p>
            <w:pPr>
              <w:snapToGrid w:val="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1.《山东省消费者权益保护条例》(山东省人民代表大会常务委员会公告第182号，2017年3月通过)第六十条、第六十二条。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2.《消费者权益保护法》(1993年10月通过，2013年10月修正)第三十二条、第三十三条。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ODE1YzJhMjhlMjRmMmZmNzYyZjE4MzlkMWJlYTMifQ=="/>
  </w:docVars>
  <w:rsids>
    <w:rsidRoot w:val="4D3263BC"/>
    <w:rsid w:val="4D326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2022-12-17T05:19:00Z</dcterms:created>
  <dc:creator>36434</dc:creator>
  <cp:lastModifiedBy>36434</cp:lastModifiedBy>
  <dcterms:modified xsi:type="dcterms:W3CDTF">2022-12-17T05:20:32Z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A90E246A21014B3D8E4E3B196A478D43</vt:lpwstr>
  </property>
</Properties>
</file>